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00DD561F" w:rsidRDefault="00DD561F" w14:paraId="058C3A88" w14:textId="739AC996"/>
    <w:p w:rsidR="007114F2" w:rsidRDefault="007114F2" w14:paraId="427A8DD7" w14:textId="2BC439E1"/>
    <w:p w:rsidRPr="00C72592" w:rsidR="000238DD" w:rsidP="00141D0F" w:rsidRDefault="000238DD" w14:paraId="6FB0E297" w14:textId="01F43E3A">
      <w:pPr>
        <w:tabs>
          <w:tab w:val="left" w:pos="2554"/>
        </w:tabs>
        <w:rPr>
          <w:sz w:val="32"/>
          <w:szCs w:val="32"/>
        </w:rPr>
      </w:pPr>
    </w:p>
    <w:p w:rsidRPr="00C72592" w:rsidR="005B5FAF" w:rsidP="005B5FAF" w:rsidRDefault="005B5FAF" w14:paraId="1D72BFF8" w14:textId="720833B1">
      <w:pPr>
        <w:autoSpaceDE w:val="0"/>
        <w:autoSpaceDN w:val="0"/>
        <w:adjustRightInd w:val="0"/>
        <w:jc w:val="center"/>
        <w:rPr>
          <w:rFonts w:ascii="Calibri" w:hAnsi="Calibri" w:cs="Calibri"/>
          <w:b/>
          <w:color w:val="003399"/>
          <w:sz w:val="28"/>
          <w:szCs w:val="28"/>
        </w:rPr>
      </w:pPr>
      <w:proofErr w:type="spellStart"/>
      <w:r w:rsidRPr="00C72592">
        <w:rPr>
          <w:rFonts w:ascii="Calibri" w:hAnsi="Calibri" w:cs="Calibri"/>
          <w:b/>
          <w:color w:val="003399"/>
          <w:sz w:val="28"/>
          <w:szCs w:val="28"/>
        </w:rPr>
        <w:t>DiAG</w:t>
      </w:r>
      <w:proofErr w:type="spellEnd"/>
      <w:r w:rsidRPr="00C72592">
        <w:rPr>
          <w:rFonts w:ascii="Calibri" w:hAnsi="Calibri" w:cs="Calibri"/>
          <w:b/>
          <w:color w:val="003399"/>
          <w:sz w:val="28"/>
          <w:szCs w:val="28"/>
        </w:rPr>
        <w:t xml:space="preserve"> - Dipartimento per l’Amministrazione Generale </w:t>
      </w:r>
    </w:p>
    <w:p w:rsidRPr="00C72592" w:rsidR="000238DD" w:rsidP="005B5FAF" w:rsidRDefault="005B5FAF" w14:paraId="69672022" w14:textId="563B4BF5">
      <w:pPr>
        <w:autoSpaceDE w:val="0"/>
        <w:autoSpaceDN w:val="0"/>
        <w:adjustRightInd w:val="0"/>
        <w:jc w:val="center"/>
        <w:rPr>
          <w:rFonts w:ascii="Calibri" w:hAnsi="Calibri" w:cs="Calibri"/>
          <w:b/>
          <w:color w:val="003399"/>
          <w:sz w:val="40"/>
          <w:szCs w:val="40"/>
        </w:rPr>
      </w:pPr>
      <w:r w:rsidRPr="00C72592">
        <w:rPr>
          <w:rFonts w:ascii="Calibri" w:hAnsi="Calibri" w:cs="Calibri"/>
          <w:b/>
          <w:color w:val="003399"/>
          <w:sz w:val="28"/>
          <w:szCs w:val="28"/>
        </w:rPr>
        <w:t>Servizio V - Contratti e attuazione programmi dell’ex Segretariato Generale</w:t>
      </w:r>
    </w:p>
    <w:p w:rsidR="005B5FAF" w:rsidP="000238DD" w:rsidRDefault="005B5FAF" w14:paraId="2795ADF3" w14:textId="77777777">
      <w:pPr>
        <w:autoSpaceDE w:val="0"/>
        <w:autoSpaceDN w:val="0"/>
        <w:adjustRightInd w:val="0"/>
        <w:jc w:val="center"/>
        <w:rPr>
          <w:rFonts w:ascii="Calibri" w:hAnsi="Calibri" w:cs="Calibri"/>
          <w:b/>
          <w:bCs/>
          <w:color w:val="003399"/>
          <w:sz w:val="33"/>
          <w:szCs w:val="33"/>
        </w:rPr>
      </w:pPr>
    </w:p>
    <w:p w:rsidR="005B5FAF" w:rsidP="000238DD" w:rsidRDefault="005B5FAF" w14:paraId="77AAF44D" w14:textId="77777777">
      <w:pPr>
        <w:autoSpaceDE w:val="0"/>
        <w:autoSpaceDN w:val="0"/>
        <w:adjustRightInd w:val="0"/>
        <w:jc w:val="center"/>
        <w:rPr>
          <w:rFonts w:ascii="Calibri" w:hAnsi="Calibri" w:cs="Calibri"/>
          <w:b/>
          <w:bCs/>
          <w:color w:val="003399"/>
          <w:sz w:val="33"/>
          <w:szCs w:val="33"/>
        </w:rPr>
      </w:pPr>
    </w:p>
    <w:p w:rsidRPr="004B0644" w:rsidR="000238DD" w:rsidP="000238DD" w:rsidRDefault="000238DD" w14:paraId="3448A29A" w14:textId="586EA3FB">
      <w:pPr>
        <w:autoSpaceDE w:val="0"/>
        <w:autoSpaceDN w:val="0"/>
        <w:adjustRightInd w:val="0"/>
        <w:jc w:val="center"/>
        <w:rPr>
          <w:rFonts w:ascii="Calibri" w:hAnsi="Calibri" w:cs="Calibri"/>
          <w:b/>
          <w:bCs/>
          <w:color w:val="003399"/>
          <w:sz w:val="33"/>
          <w:szCs w:val="33"/>
        </w:rPr>
      </w:pPr>
      <w:r w:rsidRPr="004B0644">
        <w:rPr>
          <w:rFonts w:ascii="Calibri" w:hAnsi="Calibri" w:cs="Calibri"/>
          <w:b/>
          <w:bCs/>
          <w:color w:val="003399"/>
          <w:sz w:val="33"/>
          <w:szCs w:val="33"/>
        </w:rPr>
        <w:t xml:space="preserve">SISTEMA DI GESTIONE E CONTROLLO </w:t>
      </w:r>
    </w:p>
    <w:p w:rsidRPr="004B0644" w:rsidR="000238DD" w:rsidP="000238DD" w:rsidRDefault="000238DD" w14:paraId="4C4FBE7D" w14:textId="4F0C661D">
      <w:pPr>
        <w:autoSpaceDE w:val="0"/>
        <w:autoSpaceDN w:val="0"/>
        <w:adjustRightInd w:val="0"/>
        <w:jc w:val="center"/>
        <w:rPr>
          <w:rFonts w:ascii="Calibri" w:hAnsi="Calibri" w:cs="Calibri"/>
          <w:b/>
          <w:bCs/>
          <w:color w:val="003399"/>
          <w:sz w:val="33"/>
          <w:szCs w:val="33"/>
        </w:rPr>
      </w:pPr>
      <w:r w:rsidRPr="004B0644">
        <w:rPr>
          <w:rFonts w:ascii="Calibri" w:hAnsi="Calibri" w:cs="Calibri"/>
          <w:b/>
          <w:bCs/>
          <w:color w:val="003399"/>
          <w:sz w:val="33"/>
          <w:szCs w:val="33"/>
        </w:rPr>
        <w:t>DEL PROGRAMMA NAZIONALE</w:t>
      </w:r>
    </w:p>
    <w:p w:rsidRPr="004B0644" w:rsidR="000238DD" w:rsidP="000238DD" w:rsidRDefault="000238DD" w14:paraId="54891867" w14:textId="614F51AB">
      <w:pPr>
        <w:autoSpaceDE w:val="0"/>
        <w:autoSpaceDN w:val="0"/>
        <w:adjustRightInd w:val="0"/>
        <w:jc w:val="center"/>
        <w:rPr>
          <w:rFonts w:ascii="Calibri" w:hAnsi="Calibri" w:cs="Calibri"/>
          <w:b/>
          <w:bCs/>
          <w:color w:val="003399"/>
          <w:sz w:val="33"/>
          <w:szCs w:val="33"/>
        </w:rPr>
      </w:pPr>
      <w:r w:rsidRPr="004B0644">
        <w:rPr>
          <w:rFonts w:ascii="Calibri" w:hAnsi="Calibri" w:cs="Calibri"/>
          <w:b/>
          <w:bCs/>
          <w:color w:val="003399"/>
          <w:sz w:val="33"/>
          <w:szCs w:val="33"/>
        </w:rPr>
        <w:t>CULTURA</w:t>
      </w:r>
    </w:p>
    <w:p w:rsidRPr="004B0644" w:rsidR="000238DD" w:rsidP="000238DD" w:rsidRDefault="000238DD" w14:paraId="2A79FAF7" w14:textId="017B2944">
      <w:pPr>
        <w:autoSpaceDE w:val="0"/>
        <w:autoSpaceDN w:val="0"/>
        <w:adjustRightInd w:val="0"/>
        <w:jc w:val="center"/>
        <w:rPr>
          <w:rFonts w:ascii="Calibri" w:hAnsi="Calibri" w:cs="Calibri"/>
          <w:b/>
          <w:bCs/>
          <w:color w:val="003399"/>
          <w:sz w:val="33"/>
          <w:szCs w:val="33"/>
        </w:rPr>
      </w:pPr>
      <w:r w:rsidRPr="004B0644">
        <w:rPr>
          <w:rFonts w:ascii="Calibri" w:hAnsi="Calibri" w:cs="Calibri"/>
          <w:b/>
          <w:bCs/>
          <w:color w:val="003399"/>
          <w:sz w:val="33"/>
          <w:szCs w:val="33"/>
        </w:rPr>
        <w:t>FESR 2021-2027</w:t>
      </w:r>
    </w:p>
    <w:p w:rsidRPr="004B0644" w:rsidR="000238DD" w:rsidP="000238DD" w:rsidRDefault="000238DD" w14:paraId="4451193D" w14:textId="301C4D70">
      <w:pPr>
        <w:autoSpaceDE w:val="0"/>
        <w:autoSpaceDN w:val="0"/>
        <w:adjustRightInd w:val="0"/>
        <w:jc w:val="center"/>
        <w:rPr>
          <w:rFonts w:ascii="Calibri" w:hAnsi="Calibri" w:cs="Calibri"/>
          <w:color w:val="003399"/>
          <w:sz w:val="28"/>
          <w:szCs w:val="28"/>
        </w:rPr>
      </w:pPr>
      <w:r w:rsidRPr="004B0644">
        <w:rPr>
          <w:rFonts w:ascii="Calibri" w:hAnsi="Calibri" w:cs="Calibri"/>
          <w:color w:val="003399"/>
          <w:sz w:val="28"/>
          <w:szCs w:val="28"/>
        </w:rPr>
        <w:t>(CCI:</w:t>
      </w:r>
      <w:r w:rsidRPr="004B0644">
        <w:rPr>
          <w:rFonts w:ascii="Calibri" w:hAnsi="Calibri" w:cs="Calibri"/>
        </w:rPr>
        <w:t xml:space="preserve"> </w:t>
      </w:r>
      <w:r w:rsidRPr="004B0644">
        <w:rPr>
          <w:rFonts w:ascii="Calibri" w:hAnsi="Calibri" w:cs="Calibri"/>
          <w:color w:val="003399"/>
          <w:sz w:val="28"/>
          <w:szCs w:val="28"/>
        </w:rPr>
        <w:t>2021IT16RFPR003)</w:t>
      </w:r>
    </w:p>
    <w:p w:rsidRPr="004B0644" w:rsidR="000238DD" w:rsidP="000238DD" w:rsidRDefault="000238DD" w14:paraId="76421BFD" w14:textId="449CADD1">
      <w:pPr>
        <w:autoSpaceDE w:val="0"/>
        <w:autoSpaceDN w:val="0"/>
        <w:adjustRightInd w:val="0"/>
        <w:jc w:val="center"/>
        <w:rPr>
          <w:rFonts w:ascii="Calibri" w:hAnsi="Calibri" w:cs="Calibri"/>
          <w:color w:val="003399"/>
          <w:sz w:val="28"/>
          <w:szCs w:val="28"/>
        </w:rPr>
      </w:pPr>
    </w:p>
    <w:p w:rsidR="00E04110" w:rsidP="000238DD" w:rsidRDefault="00E04110" w14:paraId="3DA33501" w14:textId="77777777">
      <w:pPr>
        <w:autoSpaceDE w:val="0"/>
        <w:autoSpaceDN w:val="0"/>
        <w:adjustRightInd w:val="0"/>
        <w:jc w:val="center"/>
        <w:rPr>
          <w:rFonts w:ascii="Calibri" w:hAnsi="Calibri" w:cs="Calibri"/>
          <w:color w:val="003399"/>
          <w:sz w:val="28"/>
          <w:szCs w:val="28"/>
        </w:rPr>
      </w:pPr>
    </w:p>
    <w:p w:rsidRPr="004B0644" w:rsidR="00544A88" w:rsidP="000238DD" w:rsidRDefault="00544A88" w14:paraId="200B2289" w14:textId="77777777">
      <w:pPr>
        <w:autoSpaceDE w:val="0"/>
        <w:autoSpaceDN w:val="0"/>
        <w:adjustRightInd w:val="0"/>
        <w:jc w:val="center"/>
        <w:rPr>
          <w:rFonts w:ascii="Calibri" w:hAnsi="Calibri" w:cs="Calibri"/>
          <w:color w:val="003399"/>
          <w:sz w:val="28"/>
          <w:szCs w:val="28"/>
        </w:rPr>
      </w:pPr>
    </w:p>
    <w:p w:rsidRPr="004B0644" w:rsidR="000238DD" w:rsidP="000238DD" w:rsidRDefault="000238DD" w14:paraId="55BE1AE7" w14:textId="593AA4E9">
      <w:pPr>
        <w:autoSpaceDE w:val="0"/>
        <w:autoSpaceDN w:val="0"/>
        <w:adjustRightInd w:val="0"/>
        <w:jc w:val="center"/>
        <w:rPr>
          <w:rFonts w:ascii="Calibri" w:hAnsi="Calibri" w:cs="Calibri"/>
          <w:b/>
          <w:bCs/>
          <w:color w:val="003399"/>
          <w:sz w:val="28"/>
          <w:szCs w:val="28"/>
        </w:rPr>
      </w:pPr>
      <w:r w:rsidRPr="004B0644">
        <w:rPr>
          <w:rFonts w:ascii="Calibri" w:hAnsi="Calibri" w:cs="Calibri"/>
          <w:b/>
          <w:color w:val="003399"/>
          <w:sz w:val="28"/>
          <w:szCs w:val="28"/>
        </w:rPr>
        <w:t>Decisione C (2022) 7959 del 28/10/2022</w:t>
      </w:r>
    </w:p>
    <w:p w:rsidRPr="004B0644" w:rsidR="000238DD" w:rsidP="000238DD" w:rsidRDefault="000238DD" w14:paraId="791AF2AC" w14:textId="1D1F84B1">
      <w:pPr>
        <w:autoSpaceDE w:val="0"/>
        <w:autoSpaceDN w:val="0"/>
        <w:adjustRightInd w:val="0"/>
        <w:jc w:val="center"/>
        <w:rPr>
          <w:rFonts w:ascii="Calibri" w:hAnsi="Calibri" w:cs="Calibri"/>
          <w:b/>
          <w:bCs/>
          <w:color w:val="003399"/>
          <w:sz w:val="28"/>
          <w:szCs w:val="28"/>
        </w:rPr>
      </w:pPr>
    </w:p>
    <w:p w:rsidR="000238DD" w:rsidP="000238DD" w:rsidRDefault="000238DD" w14:paraId="19DC99C3" w14:textId="13CCA647">
      <w:pPr>
        <w:autoSpaceDE w:val="0"/>
        <w:autoSpaceDN w:val="0"/>
        <w:adjustRightInd w:val="0"/>
        <w:jc w:val="center"/>
        <w:rPr>
          <w:rFonts w:ascii="Calibri" w:hAnsi="Calibri" w:cs="Calibri"/>
          <w:b/>
          <w:bCs/>
          <w:color w:val="003399"/>
          <w:sz w:val="28"/>
          <w:szCs w:val="28"/>
        </w:rPr>
      </w:pPr>
    </w:p>
    <w:p w:rsidRPr="004B0644" w:rsidR="00544A88" w:rsidP="000238DD" w:rsidRDefault="00544A88" w14:paraId="39364EE2" w14:textId="77777777">
      <w:pPr>
        <w:autoSpaceDE w:val="0"/>
        <w:autoSpaceDN w:val="0"/>
        <w:adjustRightInd w:val="0"/>
        <w:jc w:val="center"/>
        <w:rPr>
          <w:rFonts w:ascii="Calibri" w:hAnsi="Calibri" w:cs="Calibri"/>
          <w:b/>
          <w:bCs/>
          <w:color w:val="003399"/>
          <w:sz w:val="28"/>
          <w:szCs w:val="28"/>
        </w:rPr>
      </w:pPr>
    </w:p>
    <w:p w:rsidRPr="004B0644" w:rsidR="000238DD" w:rsidP="000238DD" w:rsidRDefault="000238DD" w14:paraId="3F038942" w14:textId="13211B81">
      <w:pPr>
        <w:autoSpaceDE w:val="0"/>
        <w:autoSpaceDN w:val="0"/>
        <w:adjustRightInd w:val="0"/>
        <w:jc w:val="center"/>
        <w:rPr>
          <w:rFonts w:ascii="Calibri" w:hAnsi="Calibri" w:cs="Calibri"/>
          <w:b/>
          <w:bCs/>
          <w:color w:val="003399"/>
          <w:sz w:val="36"/>
          <w:szCs w:val="36"/>
        </w:rPr>
      </w:pPr>
      <w:r w:rsidRPr="004B0644">
        <w:rPr>
          <w:rFonts w:ascii="Calibri" w:hAnsi="Calibri" w:cs="Calibri"/>
          <w:b/>
          <w:bCs/>
          <w:color w:val="003399"/>
          <w:sz w:val="36"/>
          <w:szCs w:val="36"/>
        </w:rPr>
        <w:t xml:space="preserve">MANUALE DELLE </w:t>
      </w:r>
    </w:p>
    <w:p w:rsidRPr="004B0644" w:rsidR="000238DD" w:rsidP="000238DD" w:rsidRDefault="000238DD" w14:paraId="0A0B3681" w14:textId="17BF982A">
      <w:pPr>
        <w:autoSpaceDE w:val="0"/>
        <w:autoSpaceDN w:val="0"/>
        <w:adjustRightInd w:val="0"/>
        <w:jc w:val="center"/>
        <w:rPr>
          <w:rFonts w:ascii="Calibri" w:hAnsi="Calibri" w:cs="Calibri"/>
          <w:b/>
          <w:bCs/>
          <w:color w:val="003399"/>
          <w:sz w:val="36"/>
          <w:szCs w:val="36"/>
        </w:rPr>
      </w:pPr>
      <w:r w:rsidRPr="004B0644">
        <w:rPr>
          <w:rFonts w:ascii="Calibri" w:hAnsi="Calibri" w:cs="Calibri"/>
          <w:b/>
          <w:bCs/>
          <w:color w:val="003399"/>
          <w:sz w:val="36"/>
          <w:szCs w:val="36"/>
        </w:rPr>
        <w:t>VERIFICHE DI GESTIONE</w:t>
      </w:r>
    </w:p>
    <w:p w:rsidRPr="004B0644" w:rsidR="00D70B85" w:rsidP="000238DD" w:rsidRDefault="00D70B85" w14:paraId="0E3B1722" w14:textId="5DCB2171">
      <w:pPr>
        <w:autoSpaceDE w:val="0"/>
        <w:autoSpaceDN w:val="0"/>
        <w:adjustRightInd w:val="0"/>
        <w:jc w:val="center"/>
        <w:rPr>
          <w:rFonts w:ascii="Calibri" w:hAnsi="Calibri" w:cs="Calibri"/>
          <w:b/>
          <w:bCs/>
          <w:color w:val="003399"/>
          <w:sz w:val="36"/>
          <w:szCs w:val="36"/>
        </w:rPr>
      </w:pPr>
    </w:p>
    <w:p w:rsidR="000238DD" w:rsidP="00EE6CF4" w:rsidRDefault="000238DD" w14:paraId="23AB4DED" w14:textId="5815D3F0">
      <w:pPr>
        <w:autoSpaceDE w:val="0"/>
        <w:autoSpaceDN w:val="0"/>
        <w:adjustRightInd w:val="0"/>
        <w:jc w:val="center"/>
        <w:rPr>
          <w:rFonts w:ascii="Calibri" w:hAnsi="Calibri" w:cs="Calibri"/>
          <w:b/>
          <w:color w:val="003399"/>
          <w:sz w:val="30"/>
          <w:szCs w:val="30"/>
        </w:rPr>
      </w:pPr>
      <w:r w:rsidRPr="00C72592">
        <w:rPr>
          <w:rFonts w:ascii="Calibri" w:hAnsi="Calibri" w:cs="Calibri"/>
          <w:b/>
          <w:color w:val="003399"/>
          <w:sz w:val="30"/>
          <w:szCs w:val="30"/>
        </w:rPr>
        <w:t>(</w:t>
      </w:r>
      <w:r w:rsidRPr="00C72592" w:rsidR="0082738A">
        <w:rPr>
          <w:rFonts w:ascii="Calibri" w:hAnsi="Calibri" w:cs="Calibri"/>
          <w:b/>
          <w:color w:val="003399"/>
          <w:sz w:val="30"/>
          <w:szCs w:val="30"/>
        </w:rPr>
        <w:t>Regolamento (UE) 2021/1060 e relativi articoli)</w:t>
      </w:r>
    </w:p>
    <w:p w:rsidRPr="005276B2" w:rsidR="005276B2" w:rsidP="00EE6CF4" w:rsidRDefault="005276B2" w14:paraId="58707268" w14:textId="638F850F">
      <w:pPr>
        <w:autoSpaceDE w:val="0"/>
        <w:autoSpaceDN w:val="0"/>
        <w:adjustRightInd w:val="0"/>
        <w:jc w:val="center"/>
        <w:rPr>
          <w:rFonts w:ascii="Calibri" w:hAnsi="Calibri" w:cs="Calibri"/>
          <w:sz w:val="20"/>
        </w:rPr>
      </w:pPr>
      <w:r w:rsidRPr="005276B2">
        <w:rPr>
          <w:rFonts w:ascii="Calibri" w:hAnsi="Calibri" w:cs="Calibri"/>
          <w:color w:val="003399"/>
          <w:szCs w:val="30"/>
        </w:rPr>
        <w:t>Versione 1.1 del 13 febbraio 2025</w:t>
      </w:r>
    </w:p>
    <w:p w:rsidR="000238DD" w:rsidP="000238DD" w:rsidRDefault="000238DD" w14:paraId="21497D85" w14:textId="42709B15">
      <w:pPr>
        <w:ind w:firstLine="708"/>
      </w:pPr>
    </w:p>
    <w:p w:rsidR="000238DD" w:rsidP="000238DD" w:rsidRDefault="000238DD" w14:paraId="756C1977" w14:textId="1B0F5BA9">
      <w:pPr>
        <w:ind w:firstLine="708"/>
      </w:pPr>
    </w:p>
    <w:p w:rsidR="000238DD" w:rsidP="000238DD" w:rsidRDefault="005B5FAF" w14:paraId="308872F8" w14:textId="373C16D8">
      <w:pPr>
        <w:ind w:firstLine="708"/>
      </w:pPr>
      <w:r w:rsidRPr="004B0644">
        <w:rPr>
          <w:rFonts w:ascii="Calibri" w:hAnsi="Calibri" w:cs="Calibri"/>
          <w:noProof/>
        </w:rPr>
        <w:drawing>
          <wp:anchor distT="0" distB="0" distL="114300" distR="114300" simplePos="0" relativeHeight="251658240" behindDoc="1" locked="0" layoutInCell="1" allowOverlap="1" wp14:anchorId="6B2ADDFE" wp14:editId="7DD92650">
            <wp:simplePos x="0" y="0"/>
            <wp:positionH relativeFrom="column">
              <wp:posOffset>-707390</wp:posOffset>
            </wp:positionH>
            <wp:positionV relativeFrom="page">
              <wp:posOffset>6870701</wp:posOffset>
            </wp:positionV>
            <wp:extent cx="7638920" cy="3801745"/>
            <wp:effectExtent l="0" t="0" r="0" b="0"/>
            <wp:wrapNone/>
            <wp:docPr id="1167286988"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alphaModFix amt="35000"/>
                      <a:extLst>
                        <a:ext uri="{28A0092B-C50C-407E-A947-70E740481C1C}">
                          <a14:useLocalDpi xmlns:a14="http://schemas.microsoft.com/office/drawing/2010/main" val="0"/>
                        </a:ext>
                      </a:extLst>
                    </a:blip>
                    <a:srcRect/>
                    <a:stretch>
                      <a:fillRect/>
                    </a:stretch>
                  </pic:blipFill>
                  <pic:spPr bwMode="auto">
                    <a:xfrm>
                      <a:off x="0" y="0"/>
                      <a:ext cx="7638920" cy="3801745"/>
                    </a:xfrm>
                    <a:prstGeom prst="rect">
                      <a:avLst/>
                    </a:prstGeom>
                    <a:noFill/>
                  </pic:spPr>
                </pic:pic>
              </a:graphicData>
            </a:graphic>
            <wp14:sizeRelH relativeFrom="margin">
              <wp14:pctWidth>0</wp14:pctWidth>
            </wp14:sizeRelH>
            <wp14:sizeRelV relativeFrom="margin">
              <wp14:pctHeight>0</wp14:pctHeight>
            </wp14:sizeRelV>
          </wp:anchor>
        </w:drawing>
      </w:r>
    </w:p>
    <w:p w:rsidR="000238DD" w:rsidP="000238DD" w:rsidRDefault="000238DD" w14:paraId="4BC07686" w14:textId="2F745CFD">
      <w:pPr>
        <w:ind w:firstLine="708"/>
      </w:pPr>
    </w:p>
    <w:p w:rsidR="000238DD" w:rsidP="000238DD" w:rsidRDefault="000238DD" w14:paraId="772F7EC2" w14:textId="0764C189">
      <w:pPr>
        <w:ind w:firstLine="708"/>
      </w:pPr>
    </w:p>
    <w:p w:rsidR="000238DD" w:rsidP="000238DD" w:rsidRDefault="000238DD" w14:paraId="5CC1F019" w14:textId="0849F662">
      <w:pPr>
        <w:ind w:firstLine="708"/>
      </w:pPr>
    </w:p>
    <w:p w:rsidR="000238DD" w:rsidP="000238DD" w:rsidRDefault="000238DD" w14:paraId="79A452BF" w14:textId="3532E463">
      <w:pPr>
        <w:ind w:firstLine="708"/>
      </w:pPr>
    </w:p>
    <w:p w:rsidR="000238DD" w:rsidP="000238DD" w:rsidRDefault="000238DD" w14:paraId="281CCF96" w14:textId="6713ED9B">
      <w:pPr>
        <w:ind w:firstLine="708"/>
      </w:pPr>
    </w:p>
    <w:p w:rsidR="000238DD" w:rsidP="000238DD" w:rsidRDefault="000238DD" w14:paraId="67071A02" w14:textId="1EDA589B">
      <w:pPr>
        <w:ind w:firstLine="708"/>
      </w:pPr>
    </w:p>
    <w:p w:rsidR="000238DD" w:rsidP="000238DD" w:rsidRDefault="000238DD" w14:paraId="70CD853C" w14:textId="77777777">
      <w:pPr>
        <w:ind w:firstLine="708"/>
      </w:pPr>
    </w:p>
    <w:p w:rsidR="000238DD" w:rsidP="000238DD" w:rsidRDefault="000238DD" w14:paraId="3ACE6175" w14:textId="77777777">
      <w:pPr>
        <w:ind w:firstLine="708"/>
      </w:pPr>
    </w:p>
    <w:p w:rsidR="000238DD" w:rsidP="000238DD" w:rsidRDefault="000238DD" w14:paraId="6070A37A" w14:textId="58E86714">
      <w:pPr>
        <w:ind w:firstLine="708"/>
      </w:pPr>
    </w:p>
    <w:p w:rsidR="000238DD" w:rsidP="000238DD" w:rsidRDefault="000238DD" w14:paraId="1254EA26" w14:textId="77777777">
      <w:pPr>
        <w:ind w:firstLine="708"/>
      </w:pPr>
    </w:p>
    <w:p w:rsidR="000238DD" w:rsidP="000238DD" w:rsidRDefault="000238DD" w14:paraId="561573A1" w14:textId="2674E141">
      <w:pPr>
        <w:ind w:firstLine="708"/>
      </w:pPr>
    </w:p>
    <w:p w:rsidR="005276B2" w:rsidP="000238DD" w:rsidRDefault="005276B2" w14:paraId="6CF2513A" w14:textId="64FB372B">
      <w:pPr>
        <w:ind w:firstLine="708"/>
      </w:pPr>
    </w:p>
    <w:p w:rsidR="005276B2" w:rsidP="000238DD" w:rsidRDefault="005276B2" w14:paraId="14804CAF" w14:textId="53E652D9">
      <w:pPr>
        <w:ind w:firstLine="708"/>
      </w:pPr>
    </w:p>
    <w:p w:rsidR="005276B2" w:rsidP="000238DD" w:rsidRDefault="005276B2" w14:paraId="4605260C" w14:textId="1CC05ABF">
      <w:pPr>
        <w:ind w:firstLine="708"/>
      </w:pPr>
    </w:p>
    <w:p w:rsidR="005276B2" w:rsidP="000238DD" w:rsidRDefault="005276B2" w14:paraId="1A660AC9" w14:textId="77777777">
      <w:pPr>
        <w:ind w:firstLine="708"/>
      </w:pPr>
    </w:p>
    <w:p w:rsidR="00942B4D" w:rsidP="00CB6FB5" w:rsidRDefault="00942B4D" w14:paraId="0945CA4A" w14:textId="77777777">
      <w:pPr>
        <w:sectPr w:rsidR="00942B4D" w:rsidSect="00196CA7">
          <w:headerReference w:type="default" r:id="rId9"/>
          <w:footerReference w:type="default" r:id="rId10"/>
          <w:headerReference w:type="first" r:id="rId11"/>
          <w:footerReference w:type="first" r:id="rId12"/>
          <w:pgSz w:w="11906" w:h="16838" w:orient="portrait"/>
          <w:pgMar w:top="1417" w:right="1134" w:bottom="1134" w:left="1134" w:header="794" w:footer="794" w:gutter="0"/>
          <w:cols w:space="708"/>
          <w:titlePg/>
          <w:docGrid w:linePitch="360"/>
        </w:sectPr>
      </w:pPr>
    </w:p>
    <w:sdt>
      <w:sdtPr>
        <w:rPr>
          <w:rFonts w:eastAsia="Times New Roman" w:cs="Times New Roman"/>
          <w:color w:val="auto"/>
          <w:sz w:val="24"/>
          <w:szCs w:val="24"/>
        </w:rPr>
        <w:id w:val="608417344"/>
        <w:docPartObj>
          <w:docPartGallery w:val="Table of Contents"/>
          <w:docPartUnique/>
        </w:docPartObj>
      </w:sdtPr>
      <w:sdtContent>
        <w:p w:rsidRPr="00B9183A" w:rsidR="000238DD" w:rsidRDefault="52C5CEAB" w14:paraId="30C7B09E" w14:textId="0787730D">
          <w:pPr>
            <w:pStyle w:val="TOCHeading"/>
            <w:rPr>
              <w:rFonts w:ascii="Calibri" w:hAnsi="Calibri" w:cs="Calibri"/>
            </w:rPr>
          </w:pPr>
          <w:r w:rsidRPr="52C5CEAB">
            <w:rPr>
              <w:rFonts w:ascii="Calibri" w:hAnsi="Calibri" w:cs="Calibri"/>
            </w:rPr>
            <w:t>Sommario</w:t>
          </w:r>
        </w:p>
        <w:p w:rsidR="001F675B" w:rsidRDefault="00476FB9" w14:paraId="0B2CD9CB" w14:textId="23392EB2">
          <w:pPr>
            <w:pStyle w:val="TOC1"/>
            <w:tabs>
              <w:tab w:val="right" w:leader="dot" w:pos="9628"/>
            </w:tabs>
            <w:rPr>
              <w:rFonts w:asciiTheme="minorHAnsi" w:hAnsiTheme="minorHAnsi" w:eastAsiaTheme="minorEastAsia" w:cstheme="minorBidi"/>
              <w:noProof/>
              <w:sz w:val="22"/>
              <w:szCs w:val="22"/>
              <w14:ligatures w14:val="none"/>
            </w:rPr>
          </w:pPr>
          <w:r>
            <w:fldChar w:fldCharType="begin"/>
          </w:r>
          <w:r w:rsidR="000238DD">
            <w:instrText>TOC \o "1-3" \z \u \h</w:instrText>
          </w:r>
          <w:r>
            <w:fldChar w:fldCharType="separate"/>
          </w:r>
          <w:hyperlink w:history="1" w:anchor="_Toc190354093">
            <w:r w:rsidRPr="00F34965" w:rsidR="001F675B">
              <w:rPr>
                <w:rStyle w:val="Hyperlink"/>
                <w:rFonts w:ascii="Calibri" w:hAnsi="Calibri" w:cs="Calibri"/>
                <w:b/>
                <w:bCs/>
                <w:noProof/>
              </w:rPr>
              <w:t>Aggiornamenti e revisioni del presente documento</w:t>
            </w:r>
            <w:r w:rsidR="001F675B">
              <w:rPr>
                <w:noProof/>
                <w:webHidden/>
              </w:rPr>
              <w:tab/>
            </w:r>
            <w:r w:rsidR="001F675B">
              <w:rPr>
                <w:noProof/>
                <w:webHidden/>
              </w:rPr>
              <w:fldChar w:fldCharType="begin"/>
            </w:r>
            <w:r w:rsidR="001F675B">
              <w:rPr>
                <w:noProof/>
                <w:webHidden/>
              </w:rPr>
              <w:instrText xml:space="preserve"> PAGEREF _Toc190354093 \h </w:instrText>
            </w:r>
            <w:r w:rsidR="001F675B">
              <w:rPr>
                <w:noProof/>
                <w:webHidden/>
              </w:rPr>
            </w:r>
            <w:r w:rsidR="001F675B">
              <w:rPr>
                <w:noProof/>
                <w:webHidden/>
              </w:rPr>
              <w:fldChar w:fldCharType="separate"/>
            </w:r>
            <w:r w:rsidR="00AE1996">
              <w:rPr>
                <w:noProof/>
                <w:webHidden/>
              </w:rPr>
              <w:t>3</w:t>
            </w:r>
            <w:r w:rsidR="001F675B">
              <w:rPr>
                <w:noProof/>
                <w:webHidden/>
              </w:rPr>
              <w:fldChar w:fldCharType="end"/>
            </w:r>
          </w:hyperlink>
        </w:p>
        <w:p w:rsidR="001F675B" w:rsidRDefault="001F675B" w14:paraId="52ABEA41" w14:textId="4B1139D0">
          <w:pPr>
            <w:pStyle w:val="TOC1"/>
            <w:tabs>
              <w:tab w:val="right" w:leader="dot" w:pos="9628"/>
            </w:tabs>
            <w:rPr>
              <w:rFonts w:asciiTheme="minorHAnsi" w:hAnsiTheme="minorHAnsi" w:eastAsiaTheme="minorEastAsia" w:cstheme="minorBidi"/>
              <w:noProof/>
              <w:sz w:val="22"/>
              <w:szCs w:val="22"/>
              <w14:ligatures w14:val="none"/>
            </w:rPr>
          </w:pPr>
          <w:hyperlink w:history="1" w:anchor="_Toc190354094">
            <w:r w:rsidRPr="00F34965">
              <w:rPr>
                <w:rStyle w:val="Hyperlink"/>
                <w:rFonts w:ascii="Calibri" w:hAnsi="Calibri" w:cs="Calibri"/>
                <w:b/>
                <w:bCs/>
                <w:noProof/>
              </w:rPr>
              <w:t>Acronimi</w:t>
            </w:r>
            <w:r>
              <w:rPr>
                <w:noProof/>
                <w:webHidden/>
              </w:rPr>
              <w:tab/>
            </w:r>
            <w:r>
              <w:rPr>
                <w:noProof/>
                <w:webHidden/>
              </w:rPr>
              <w:fldChar w:fldCharType="begin"/>
            </w:r>
            <w:r>
              <w:rPr>
                <w:noProof/>
                <w:webHidden/>
              </w:rPr>
              <w:instrText xml:space="preserve"> PAGEREF _Toc190354094 \h </w:instrText>
            </w:r>
            <w:r>
              <w:rPr>
                <w:noProof/>
                <w:webHidden/>
              </w:rPr>
            </w:r>
            <w:r>
              <w:rPr>
                <w:noProof/>
                <w:webHidden/>
              </w:rPr>
              <w:fldChar w:fldCharType="separate"/>
            </w:r>
            <w:r w:rsidR="00AE1996">
              <w:rPr>
                <w:noProof/>
                <w:webHidden/>
              </w:rPr>
              <w:t>4</w:t>
            </w:r>
            <w:r>
              <w:rPr>
                <w:noProof/>
                <w:webHidden/>
              </w:rPr>
              <w:fldChar w:fldCharType="end"/>
            </w:r>
          </w:hyperlink>
        </w:p>
        <w:p w:rsidR="001F675B" w:rsidRDefault="001F675B" w14:paraId="2846B195" w14:textId="2A0DDF70">
          <w:pPr>
            <w:pStyle w:val="TOC1"/>
            <w:tabs>
              <w:tab w:val="right" w:leader="dot" w:pos="9628"/>
            </w:tabs>
            <w:rPr>
              <w:rFonts w:asciiTheme="minorHAnsi" w:hAnsiTheme="minorHAnsi" w:eastAsiaTheme="minorEastAsia" w:cstheme="minorBidi"/>
              <w:noProof/>
              <w:sz w:val="22"/>
              <w:szCs w:val="22"/>
              <w14:ligatures w14:val="none"/>
            </w:rPr>
          </w:pPr>
          <w:hyperlink w:history="1" w:anchor="_Toc190354095">
            <w:r w:rsidRPr="00F34965">
              <w:rPr>
                <w:rStyle w:val="Hyperlink"/>
                <w:rFonts w:ascii="Calibri" w:hAnsi="Calibri" w:cs="Calibri"/>
                <w:b/>
                <w:bCs/>
                <w:noProof/>
              </w:rPr>
              <w:t>Premessa</w:t>
            </w:r>
            <w:r>
              <w:rPr>
                <w:noProof/>
                <w:webHidden/>
              </w:rPr>
              <w:tab/>
            </w:r>
            <w:r>
              <w:rPr>
                <w:noProof/>
                <w:webHidden/>
              </w:rPr>
              <w:fldChar w:fldCharType="begin"/>
            </w:r>
            <w:r>
              <w:rPr>
                <w:noProof/>
                <w:webHidden/>
              </w:rPr>
              <w:instrText xml:space="preserve"> PAGEREF _Toc190354095 \h </w:instrText>
            </w:r>
            <w:r>
              <w:rPr>
                <w:noProof/>
                <w:webHidden/>
              </w:rPr>
            </w:r>
            <w:r>
              <w:rPr>
                <w:noProof/>
                <w:webHidden/>
              </w:rPr>
              <w:fldChar w:fldCharType="separate"/>
            </w:r>
            <w:r w:rsidR="00AE1996">
              <w:rPr>
                <w:noProof/>
                <w:webHidden/>
              </w:rPr>
              <w:t>5</w:t>
            </w:r>
            <w:r>
              <w:rPr>
                <w:noProof/>
                <w:webHidden/>
              </w:rPr>
              <w:fldChar w:fldCharType="end"/>
            </w:r>
          </w:hyperlink>
        </w:p>
        <w:p w:rsidR="001F675B" w:rsidRDefault="001F675B" w14:paraId="3B175F2C" w14:textId="7A2ACC13">
          <w:pPr>
            <w:pStyle w:val="TOC1"/>
            <w:tabs>
              <w:tab w:val="left" w:pos="480"/>
              <w:tab w:val="right" w:leader="dot" w:pos="9628"/>
            </w:tabs>
            <w:rPr>
              <w:rFonts w:asciiTheme="minorHAnsi" w:hAnsiTheme="minorHAnsi" w:eastAsiaTheme="minorEastAsia" w:cstheme="minorBidi"/>
              <w:noProof/>
              <w:sz w:val="22"/>
              <w:szCs w:val="22"/>
              <w14:ligatures w14:val="none"/>
            </w:rPr>
          </w:pPr>
          <w:hyperlink w:history="1" w:anchor="_Toc190354096">
            <w:r w:rsidRPr="00F34965">
              <w:rPr>
                <w:rStyle w:val="Hyperlink"/>
                <w:rFonts w:ascii="Calibri" w:hAnsi="Calibri" w:cs="Calibri"/>
                <w:b/>
                <w:bCs/>
                <w:noProof/>
              </w:rPr>
              <w:t>1.</w:t>
            </w:r>
            <w:r>
              <w:rPr>
                <w:rFonts w:asciiTheme="minorHAnsi" w:hAnsiTheme="minorHAnsi" w:eastAsiaTheme="minorEastAsia" w:cstheme="minorBidi"/>
                <w:noProof/>
                <w:sz w:val="22"/>
                <w:szCs w:val="22"/>
                <w14:ligatures w14:val="none"/>
              </w:rPr>
              <w:tab/>
            </w:r>
            <w:r w:rsidRPr="00F34965">
              <w:rPr>
                <w:rStyle w:val="Hyperlink"/>
                <w:rFonts w:ascii="Calibri" w:hAnsi="Calibri" w:cs="Calibri"/>
                <w:b/>
                <w:bCs/>
                <w:noProof/>
              </w:rPr>
              <w:t>Normativa di riferimento</w:t>
            </w:r>
            <w:r>
              <w:rPr>
                <w:noProof/>
                <w:webHidden/>
              </w:rPr>
              <w:tab/>
            </w:r>
            <w:r>
              <w:rPr>
                <w:noProof/>
                <w:webHidden/>
              </w:rPr>
              <w:fldChar w:fldCharType="begin"/>
            </w:r>
            <w:r>
              <w:rPr>
                <w:noProof/>
                <w:webHidden/>
              </w:rPr>
              <w:instrText xml:space="preserve"> PAGEREF _Toc190354096 \h </w:instrText>
            </w:r>
            <w:r>
              <w:rPr>
                <w:noProof/>
                <w:webHidden/>
              </w:rPr>
            </w:r>
            <w:r>
              <w:rPr>
                <w:noProof/>
                <w:webHidden/>
              </w:rPr>
              <w:fldChar w:fldCharType="separate"/>
            </w:r>
            <w:r w:rsidR="00AE1996">
              <w:rPr>
                <w:noProof/>
                <w:webHidden/>
              </w:rPr>
              <w:t>7</w:t>
            </w:r>
            <w:r>
              <w:rPr>
                <w:noProof/>
                <w:webHidden/>
              </w:rPr>
              <w:fldChar w:fldCharType="end"/>
            </w:r>
          </w:hyperlink>
        </w:p>
        <w:p w:rsidR="001F675B" w:rsidRDefault="001F675B" w14:paraId="0AAADDC0" w14:textId="29213453">
          <w:pPr>
            <w:pStyle w:val="TOC2"/>
            <w:rPr>
              <w:rFonts w:asciiTheme="minorHAnsi" w:hAnsiTheme="minorHAnsi" w:eastAsiaTheme="minorEastAsia" w:cstheme="minorBidi"/>
              <w:noProof/>
              <w:sz w:val="22"/>
              <w:szCs w:val="22"/>
              <w:lang w:val="it-IT"/>
              <w14:ligatures w14:val="none"/>
            </w:rPr>
          </w:pPr>
          <w:hyperlink w:history="1" w:anchor="_Toc190354097">
            <w:r w:rsidRPr="00F34965">
              <w:rPr>
                <w:rStyle w:val="Hyperlink"/>
                <w:b/>
                <w:bCs/>
                <w:noProof/>
              </w:rPr>
              <w:t>1.1</w:t>
            </w:r>
            <w:r>
              <w:rPr>
                <w:rFonts w:asciiTheme="minorHAnsi" w:hAnsiTheme="minorHAnsi" w:eastAsiaTheme="minorEastAsia" w:cstheme="minorBidi"/>
                <w:noProof/>
                <w:sz w:val="22"/>
                <w:szCs w:val="22"/>
                <w:lang w:val="it-IT"/>
                <w14:ligatures w14:val="none"/>
              </w:rPr>
              <w:tab/>
            </w:r>
            <w:r w:rsidRPr="00F34965">
              <w:rPr>
                <w:rStyle w:val="Hyperlink"/>
                <w:b/>
                <w:bCs/>
                <w:noProof/>
              </w:rPr>
              <w:t>Regolamenti UE</w:t>
            </w:r>
            <w:r>
              <w:rPr>
                <w:noProof/>
                <w:webHidden/>
              </w:rPr>
              <w:tab/>
            </w:r>
            <w:r>
              <w:rPr>
                <w:noProof/>
                <w:webHidden/>
              </w:rPr>
              <w:fldChar w:fldCharType="begin"/>
            </w:r>
            <w:r>
              <w:rPr>
                <w:noProof/>
                <w:webHidden/>
              </w:rPr>
              <w:instrText xml:space="preserve"> PAGEREF _Toc190354097 \h </w:instrText>
            </w:r>
            <w:r>
              <w:rPr>
                <w:noProof/>
                <w:webHidden/>
              </w:rPr>
            </w:r>
            <w:r>
              <w:rPr>
                <w:noProof/>
                <w:webHidden/>
              </w:rPr>
              <w:fldChar w:fldCharType="separate"/>
            </w:r>
            <w:r w:rsidR="00AE1996">
              <w:rPr>
                <w:noProof/>
                <w:webHidden/>
              </w:rPr>
              <w:t>7</w:t>
            </w:r>
            <w:r>
              <w:rPr>
                <w:noProof/>
                <w:webHidden/>
              </w:rPr>
              <w:fldChar w:fldCharType="end"/>
            </w:r>
          </w:hyperlink>
        </w:p>
        <w:p w:rsidR="001F675B" w:rsidRDefault="001F675B" w14:paraId="5809BC28" w14:textId="16FA0283">
          <w:pPr>
            <w:pStyle w:val="TOC2"/>
            <w:rPr>
              <w:rFonts w:asciiTheme="minorHAnsi" w:hAnsiTheme="minorHAnsi" w:eastAsiaTheme="minorEastAsia" w:cstheme="minorBidi"/>
              <w:noProof/>
              <w:sz w:val="22"/>
              <w:szCs w:val="22"/>
              <w:lang w:val="it-IT"/>
              <w14:ligatures w14:val="none"/>
            </w:rPr>
          </w:pPr>
          <w:hyperlink w:history="1" w:anchor="_Toc190354098">
            <w:r w:rsidRPr="00F34965">
              <w:rPr>
                <w:rStyle w:val="Hyperlink"/>
                <w:b/>
                <w:bCs/>
                <w:noProof/>
              </w:rPr>
              <w:t>1.2</w:t>
            </w:r>
            <w:r>
              <w:rPr>
                <w:rFonts w:asciiTheme="minorHAnsi" w:hAnsiTheme="minorHAnsi" w:eastAsiaTheme="minorEastAsia" w:cstheme="minorBidi"/>
                <w:noProof/>
                <w:sz w:val="22"/>
                <w:szCs w:val="22"/>
                <w:lang w:val="it-IT"/>
                <w14:ligatures w14:val="none"/>
              </w:rPr>
              <w:tab/>
            </w:r>
            <w:r w:rsidRPr="00F34965">
              <w:rPr>
                <w:rStyle w:val="Hyperlink"/>
                <w:b/>
                <w:bCs/>
                <w:noProof/>
              </w:rPr>
              <w:t>Normativa nazionale</w:t>
            </w:r>
            <w:r>
              <w:rPr>
                <w:noProof/>
                <w:webHidden/>
              </w:rPr>
              <w:tab/>
            </w:r>
            <w:r>
              <w:rPr>
                <w:noProof/>
                <w:webHidden/>
              </w:rPr>
              <w:fldChar w:fldCharType="begin"/>
            </w:r>
            <w:r>
              <w:rPr>
                <w:noProof/>
                <w:webHidden/>
              </w:rPr>
              <w:instrText xml:space="preserve"> PAGEREF _Toc190354098 \h </w:instrText>
            </w:r>
            <w:r>
              <w:rPr>
                <w:noProof/>
                <w:webHidden/>
              </w:rPr>
            </w:r>
            <w:r>
              <w:rPr>
                <w:noProof/>
                <w:webHidden/>
              </w:rPr>
              <w:fldChar w:fldCharType="separate"/>
            </w:r>
            <w:r w:rsidR="00AE1996">
              <w:rPr>
                <w:noProof/>
                <w:webHidden/>
              </w:rPr>
              <w:t>8</w:t>
            </w:r>
            <w:r>
              <w:rPr>
                <w:noProof/>
                <w:webHidden/>
              </w:rPr>
              <w:fldChar w:fldCharType="end"/>
            </w:r>
          </w:hyperlink>
        </w:p>
        <w:p w:rsidR="001F675B" w:rsidRDefault="001F675B" w14:paraId="08842739" w14:textId="06C6F406">
          <w:pPr>
            <w:pStyle w:val="TOC2"/>
            <w:rPr>
              <w:rFonts w:asciiTheme="minorHAnsi" w:hAnsiTheme="minorHAnsi" w:eastAsiaTheme="minorEastAsia" w:cstheme="minorBidi"/>
              <w:noProof/>
              <w:sz w:val="22"/>
              <w:szCs w:val="22"/>
              <w:lang w:val="it-IT"/>
              <w14:ligatures w14:val="none"/>
            </w:rPr>
          </w:pPr>
          <w:hyperlink w:history="1" w:anchor="_Toc190354099">
            <w:r w:rsidRPr="00F34965">
              <w:rPr>
                <w:rStyle w:val="Hyperlink"/>
                <w:b/>
                <w:bCs/>
                <w:noProof/>
              </w:rPr>
              <w:t>1.3</w:t>
            </w:r>
            <w:r>
              <w:rPr>
                <w:rFonts w:asciiTheme="minorHAnsi" w:hAnsiTheme="minorHAnsi" w:eastAsiaTheme="minorEastAsia" w:cstheme="minorBidi"/>
                <w:noProof/>
                <w:sz w:val="22"/>
                <w:szCs w:val="22"/>
                <w:lang w:val="it-IT"/>
                <w14:ligatures w14:val="none"/>
              </w:rPr>
              <w:tab/>
            </w:r>
            <w:r w:rsidRPr="00F34965">
              <w:rPr>
                <w:rStyle w:val="Hyperlink"/>
                <w:b/>
                <w:bCs/>
                <w:noProof/>
              </w:rPr>
              <w:t>Appalti pubblici</w:t>
            </w:r>
            <w:r>
              <w:rPr>
                <w:noProof/>
                <w:webHidden/>
              </w:rPr>
              <w:tab/>
            </w:r>
            <w:r>
              <w:rPr>
                <w:noProof/>
                <w:webHidden/>
              </w:rPr>
              <w:fldChar w:fldCharType="begin"/>
            </w:r>
            <w:r>
              <w:rPr>
                <w:noProof/>
                <w:webHidden/>
              </w:rPr>
              <w:instrText xml:space="preserve"> PAGEREF _Toc190354099 \h </w:instrText>
            </w:r>
            <w:r>
              <w:rPr>
                <w:noProof/>
                <w:webHidden/>
              </w:rPr>
            </w:r>
            <w:r>
              <w:rPr>
                <w:noProof/>
                <w:webHidden/>
              </w:rPr>
              <w:fldChar w:fldCharType="separate"/>
            </w:r>
            <w:r w:rsidR="00AE1996">
              <w:rPr>
                <w:noProof/>
                <w:webHidden/>
              </w:rPr>
              <w:t>8</w:t>
            </w:r>
            <w:r>
              <w:rPr>
                <w:noProof/>
                <w:webHidden/>
              </w:rPr>
              <w:fldChar w:fldCharType="end"/>
            </w:r>
          </w:hyperlink>
        </w:p>
        <w:p w:rsidR="001F675B" w:rsidRDefault="001F675B" w14:paraId="50E15D45" w14:textId="7B50FDB9">
          <w:pPr>
            <w:pStyle w:val="TOC2"/>
            <w:rPr>
              <w:rFonts w:asciiTheme="minorHAnsi" w:hAnsiTheme="minorHAnsi" w:eastAsiaTheme="minorEastAsia" w:cstheme="minorBidi"/>
              <w:noProof/>
              <w:sz w:val="22"/>
              <w:szCs w:val="22"/>
              <w:lang w:val="it-IT"/>
              <w14:ligatures w14:val="none"/>
            </w:rPr>
          </w:pPr>
          <w:hyperlink w:history="1" w:anchor="_Toc190354100">
            <w:r w:rsidRPr="00F34965">
              <w:rPr>
                <w:rStyle w:val="Hyperlink"/>
                <w:b/>
                <w:bCs/>
                <w:noProof/>
              </w:rPr>
              <w:t>1.4</w:t>
            </w:r>
            <w:r>
              <w:rPr>
                <w:rFonts w:asciiTheme="minorHAnsi" w:hAnsiTheme="minorHAnsi" w:eastAsiaTheme="minorEastAsia" w:cstheme="minorBidi"/>
                <w:noProof/>
                <w:sz w:val="22"/>
                <w:szCs w:val="22"/>
                <w:lang w:val="it-IT"/>
                <w14:ligatures w14:val="none"/>
              </w:rPr>
              <w:tab/>
            </w:r>
            <w:r w:rsidRPr="00F34965">
              <w:rPr>
                <w:rStyle w:val="Hyperlink"/>
                <w:b/>
                <w:bCs/>
                <w:noProof/>
              </w:rPr>
              <w:t>Aiuti di stato</w:t>
            </w:r>
            <w:r>
              <w:rPr>
                <w:noProof/>
                <w:webHidden/>
              </w:rPr>
              <w:tab/>
            </w:r>
            <w:r>
              <w:rPr>
                <w:noProof/>
                <w:webHidden/>
              </w:rPr>
              <w:fldChar w:fldCharType="begin"/>
            </w:r>
            <w:r>
              <w:rPr>
                <w:noProof/>
                <w:webHidden/>
              </w:rPr>
              <w:instrText xml:space="preserve"> PAGEREF _Toc190354100 \h </w:instrText>
            </w:r>
            <w:r>
              <w:rPr>
                <w:noProof/>
                <w:webHidden/>
              </w:rPr>
            </w:r>
            <w:r>
              <w:rPr>
                <w:noProof/>
                <w:webHidden/>
              </w:rPr>
              <w:fldChar w:fldCharType="separate"/>
            </w:r>
            <w:r w:rsidR="00AE1996">
              <w:rPr>
                <w:noProof/>
                <w:webHidden/>
              </w:rPr>
              <w:t>9</w:t>
            </w:r>
            <w:r>
              <w:rPr>
                <w:noProof/>
                <w:webHidden/>
              </w:rPr>
              <w:fldChar w:fldCharType="end"/>
            </w:r>
          </w:hyperlink>
        </w:p>
        <w:p w:rsidR="001F675B" w:rsidRDefault="001F675B" w14:paraId="70C3F64E" w14:textId="4989E907">
          <w:pPr>
            <w:pStyle w:val="TOC2"/>
            <w:rPr>
              <w:rFonts w:asciiTheme="minorHAnsi" w:hAnsiTheme="minorHAnsi" w:eastAsiaTheme="minorEastAsia" w:cstheme="minorBidi"/>
              <w:noProof/>
              <w:sz w:val="22"/>
              <w:szCs w:val="22"/>
              <w:lang w:val="it-IT"/>
              <w14:ligatures w14:val="none"/>
            </w:rPr>
          </w:pPr>
          <w:hyperlink w:history="1" w:anchor="_Toc190354101">
            <w:r w:rsidRPr="00F34965">
              <w:rPr>
                <w:rStyle w:val="Hyperlink"/>
                <w:b/>
                <w:bCs/>
                <w:noProof/>
              </w:rPr>
              <w:t>1.5</w:t>
            </w:r>
            <w:r>
              <w:rPr>
                <w:rFonts w:asciiTheme="minorHAnsi" w:hAnsiTheme="minorHAnsi" w:eastAsiaTheme="minorEastAsia" w:cstheme="minorBidi"/>
                <w:noProof/>
                <w:sz w:val="22"/>
                <w:szCs w:val="22"/>
                <w:lang w:val="it-IT"/>
                <w14:ligatures w14:val="none"/>
              </w:rPr>
              <w:tab/>
            </w:r>
            <w:r w:rsidRPr="00F34965">
              <w:rPr>
                <w:rStyle w:val="Hyperlink"/>
                <w:b/>
                <w:bCs/>
                <w:noProof/>
              </w:rPr>
              <w:t>Prevenzione della corruzione e trasparenza nelle attività amministrative</w:t>
            </w:r>
            <w:r>
              <w:rPr>
                <w:noProof/>
                <w:webHidden/>
              </w:rPr>
              <w:tab/>
            </w:r>
            <w:r>
              <w:rPr>
                <w:noProof/>
                <w:webHidden/>
              </w:rPr>
              <w:fldChar w:fldCharType="begin"/>
            </w:r>
            <w:r>
              <w:rPr>
                <w:noProof/>
                <w:webHidden/>
              </w:rPr>
              <w:instrText xml:space="preserve"> PAGEREF _Toc190354101 \h </w:instrText>
            </w:r>
            <w:r>
              <w:rPr>
                <w:noProof/>
                <w:webHidden/>
              </w:rPr>
            </w:r>
            <w:r>
              <w:rPr>
                <w:noProof/>
                <w:webHidden/>
              </w:rPr>
              <w:fldChar w:fldCharType="separate"/>
            </w:r>
            <w:r w:rsidR="00AE1996">
              <w:rPr>
                <w:noProof/>
                <w:webHidden/>
              </w:rPr>
              <w:t>10</w:t>
            </w:r>
            <w:r>
              <w:rPr>
                <w:noProof/>
                <w:webHidden/>
              </w:rPr>
              <w:fldChar w:fldCharType="end"/>
            </w:r>
          </w:hyperlink>
        </w:p>
        <w:p w:rsidR="001F675B" w:rsidRDefault="001F675B" w14:paraId="28CD112A" w14:textId="0DCD16CF">
          <w:pPr>
            <w:pStyle w:val="TOC2"/>
            <w:rPr>
              <w:rFonts w:asciiTheme="minorHAnsi" w:hAnsiTheme="minorHAnsi" w:eastAsiaTheme="minorEastAsia" w:cstheme="minorBidi"/>
              <w:noProof/>
              <w:sz w:val="22"/>
              <w:szCs w:val="22"/>
              <w:lang w:val="it-IT"/>
              <w14:ligatures w14:val="none"/>
            </w:rPr>
          </w:pPr>
          <w:hyperlink w:history="1" w:anchor="_Toc190354102">
            <w:r w:rsidRPr="00F34965">
              <w:rPr>
                <w:rStyle w:val="Hyperlink"/>
                <w:b/>
                <w:bCs/>
                <w:noProof/>
              </w:rPr>
              <w:t>1.6</w:t>
            </w:r>
            <w:r>
              <w:rPr>
                <w:rFonts w:asciiTheme="minorHAnsi" w:hAnsiTheme="minorHAnsi" w:eastAsiaTheme="minorEastAsia" w:cstheme="minorBidi"/>
                <w:noProof/>
                <w:sz w:val="22"/>
                <w:szCs w:val="22"/>
                <w:lang w:val="it-IT"/>
                <w14:ligatures w14:val="none"/>
              </w:rPr>
              <w:tab/>
            </w:r>
            <w:r w:rsidRPr="00F34965">
              <w:rPr>
                <w:rStyle w:val="Hyperlink"/>
                <w:b/>
                <w:bCs/>
                <w:noProof/>
              </w:rPr>
              <w:t>Altri documenti di interesse</w:t>
            </w:r>
            <w:r>
              <w:rPr>
                <w:noProof/>
                <w:webHidden/>
              </w:rPr>
              <w:tab/>
            </w:r>
            <w:r>
              <w:rPr>
                <w:noProof/>
                <w:webHidden/>
              </w:rPr>
              <w:fldChar w:fldCharType="begin"/>
            </w:r>
            <w:r>
              <w:rPr>
                <w:noProof/>
                <w:webHidden/>
              </w:rPr>
              <w:instrText xml:space="preserve"> PAGEREF _Toc190354102 \h </w:instrText>
            </w:r>
            <w:r>
              <w:rPr>
                <w:noProof/>
                <w:webHidden/>
              </w:rPr>
            </w:r>
            <w:r>
              <w:rPr>
                <w:noProof/>
                <w:webHidden/>
              </w:rPr>
              <w:fldChar w:fldCharType="separate"/>
            </w:r>
            <w:r w:rsidR="00AE1996">
              <w:rPr>
                <w:noProof/>
                <w:webHidden/>
              </w:rPr>
              <w:t>11</w:t>
            </w:r>
            <w:r>
              <w:rPr>
                <w:noProof/>
                <w:webHidden/>
              </w:rPr>
              <w:fldChar w:fldCharType="end"/>
            </w:r>
          </w:hyperlink>
        </w:p>
        <w:p w:rsidR="001F675B" w:rsidRDefault="001F675B" w14:paraId="5E18316D" w14:textId="6DC65695">
          <w:pPr>
            <w:pStyle w:val="TOC2"/>
            <w:rPr>
              <w:rFonts w:asciiTheme="minorHAnsi" w:hAnsiTheme="minorHAnsi" w:eastAsiaTheme="minorEastAsia" w:cstheme="minorBidi"/>
              <w:noProof/>
              <w:sz w:val="22"/>
              <w:szCs w:val="22"/>
              <w:lang w:val="it-IT"/>
              <w14:ligatures w14:val="none"/>
            </w:rPr>
          </w:pPr>
          <w:hyperlink w:history="1" w:anchor="_Toc190354103">
            <w:r w:rsidRPr="00F34965">
              <w:rPr>
                <w:rStyle w:val="Hyperlink"/>
                <w:b/>
                <w:bCs/>
                <w:noProof/>
              </w:rPr>
              <w:t>1.7</w:t>
            </w:r>
            <w:r>
              <w:rPr>
                <w:rFonts w:asciiTheme="minorHAnsi" w:hAnsiTheme="minorHAnsi" w:eastAsiaTheme="minorEastAsia" w:cstheme="minorBidi"/>
                <w:noProof/>
                <w:sz w:val="22"/>
                <w:szCs w:val="22"/>
                <w:lang w:val="it-IT"/>
                <w14:ligatures w14:val="none"/>
              </w:rPr>
              <w:tab/>
            </w:r>
            <w:r w:rsidRPr="00F34965">
              <w:rPr>
                <w:rStyle w:val="Hyperlink"/>
                <w:b/>
                <w:bCs/>
                <w:noProof/>
              </w:rPr>
              <w:t>Pari Opportunità</w:t>
            </w:r>
            <w:r>
              <w:rPr>
                <w:noProof/>
                <w:webHidden/>
              </w:rPr>
              <w:tab/>
            </w:r>
            <w:r>
              <w:rPr>
                <w:noProof/>
                <w:webHidden/>
              </w:rPr>
              <w:fldChar w:fldCharType="begin"/>
            </w:r>
            <w:r>
              <w:rPr>
                <w:noProof/>
                <w:webHidden/>
              </w:rPr>
              <w:instrText xml:space="preserve"> PAGEREF _Toc190354103 \h </w:instrText>
            </w:r>
            <w:r>
              <w:rPr>
                <w:noProof/>
                <w:webHidden/>
              </w:rPr>
            </w:r>
            <w:r>
              <w:rPr>
                <w:noProof/>
                <w:webHidden/>
              </w:rPr>
              <w:fldChar w:fldCharType="separate"/>
            </w:r>
            <w:r w:rsidR="00AE1996">
              <w:rPr>
                <w:noProof/>
                <w:webHidden/>
              </w:rPr>
              <w:t>12</w:t>
            </w:r>
            <w:r>
              <w:rPr>
                <w:noProof/>
                <w:webHidden/>
              </w:rPr>
              <w:fldChar w:fldCharType="end"/>
            </w:r>
          </w:hyperlink>
        </w:p>
        <w:p w:rsidR="001F675B" w:rsidRDefault="001F675B" w14:paraId="612D1323" w14:textId="6BE17C03">
          <w:pPr>
            <w:pStyle w:val="TOC1"/>
            <w:tabs>
              <w:tab w:val="left" w:pos="480"/>
              <w:tab w:val="right" w:leader="dot" w:pos="9628"/>
            </w:tabs>
            <w:rPr>
              <w:rFonts w:asciiTheme="minorHAnsi" w:hAnsiTheme="minorHAnsi" w:eastAsiaTheme="minorEastAsia" w:cstheme="minorBidi"/>
              <w:noProof/>
              <w:sz w:val="22"/>
              <w:szCs w:val="22"/>
              <w14:ligatures w14:val="none"/>
            </w:rPr>
          </w:pPr>
          <w:hyperlink w:history="1" w:anchor="_Toc190354104">
            <w:r w:rsidRPr="00F34965">
              <w:rPr>
                <w:rStyle w:val="Hyperlink"/>
                <w:rFonts w:ascii="Calibri" w:hAnsi="Calibri" w:cs="Calibri"/>
                <w:b/>
                <w:bCs/>
                <w:noProof/>
              </w:rPr>
              <w:t>2.</w:t>
            </w:r>
            <w:r>
              <w:rPr>
                <w:rFonts w:asciiTheme="minorHAnsi" w:hAnsiTheme="minorHAnsi" w:eastAsiaTheme="minorEastAsia" w:cstheme="minorBidi"/>
                <w:noProof/>
                <w:sz w:val="22"/>
                <w:szCs w:val="22"/>
                <w14:ligatures w14:val="none"/>
              </w:rPr>
              <w:tab/>
            </w:r>
            <w:r w:rsidRPr="00F34965">
              <w:rPr>
                <w:rStyle w:val="Hyperlink"/>
                <w:rFonts w:ascii="Calibri" w:hAnsi="Calibri" w:cs="Calibri"/>
                <w:b/>
                <w:bCs/>
                <w:noProof/>
              </w:rPr>
              <w:t>Ambito di riferimento</w:t>
            </w:r>
            <w:r>
              <w:rPr>
                <w:noProof/>
                <w:webHidden/>
              </w:rPr>
              <w:tab/>
            </w:r>
            <w:r>
              <w:rPr>
                <w:noProof/>
                <w:webHidden/>
              </w:rPr>
              <w:fldChar w:fldCharType="begin"/>
            </w:r>
            <w:r>
              <w:rPr>
                <w:noProof/>
                <w:webHidden/>
              </w:rPr>
              <w:instrText xml:space="preserve"> PAGEREF _Toc190354104 \h </w:instrText>
            </w:r>
            <w:r>
              <w:rPr>
                <w:noProof/>
                <w:webHidden/>
              </w:rPr>
            </w:r>
            <w:r>
              <w:rPr>
                <w:noProof/>
                <w:webHidden/>
              </w:rPr>
              <w:fldChar w:fldCharType="separate"/>
            </w:r>
            <w:r w:rsidR="00AE1996">
              <w:rPr>
                <w:noProof/>
                <w:webHidden/>
              </w:rPr>
              <w:t>15</w:t>
            </w:r>
            <w:r>
              <w:rPr>
                <w:noProof/>
                <w:webHidden/>
              </w:rPr>
              <w:fldChar w:fldCharType="end"/>
            </w:r>
          </w:hyperlink>
        </w:p>
        <w:p w:rsidR="001F675B" w:rsidRDefault="001F675B" w14:paraId="19441F2D" w14:textId="60D5F0ED">
          <w:pPr>
            <w:pStyle w:val="TOC1"/>
            <w:tabs>
              <w:tab w:val="left" w:pos="480"/>
              <w:tab w:val="right" w:leader="dot" w:pos="9628"/>
            </w:tabs>
            <w:rPr>
              <w:rFonts w:asciiTheme="minorHAnsi" w:hAnsiTheme="minorHAnsi" w:eastAsiaTheme="minorEastAsia" w:cstheme="minorBidi"/>
              <w:noProof/>
              <w:sz w:val="22"/>
              <w:szCs w:val="22"/>
              <w14:ligatures w14:val="none"/>
            </w:rPr>
          </w:pPr>
          <w:hyperlink w:history="1" w:anchor="_Toc190354105">
            <w:r w:rsidRPr="00F34965">
              <w:rPr>
                <w:rStyle w:val="Hyperlink"/>
                <w:rFonts w:ascii="Calibri" w:hAnsi="Calibri" w:cs="Calibri"/>
                <w:b/>
                <w:bCs/>
                <w:noProof/>
              </w:rPr>
              <w:t>3.</w:t>
            </w:r>
            <w:r>
              <w:rPr>
                <w:rFonts w:asciiTheme="minorHAnsi" w:hAnsiTheme="minorHAnsi" w:eastAsiaTheme="minorEastAsia" w:cstheme="minorBidi"/>
                <w:noProof/>
                <w:sz w:val="22"/>
                <w:szCs w:val="22"/>
                <w14:ligatures w14:val="none"/>
              </w:rPr>
              <w:tab/>
            </w:r>
            <w:r w:rsidRPr="00F34965">
              <w:rPr>
                <w:rStyle w:val="Hyperlink"/>
                <w:rFonts w:ascii="Calibri" w:hAnsi="Calibri" w:cs="Calibri"/>
                <w:b/>
                <w:bCs/>
                <w:noProof/>
              </w:rPr>
              <w:t>Organizzazione delle verifiche di gestione</w:t>
            </w:r>
            <w:r>
              <w:rPr>
                <w:noProof/>
                <w:webHidden/>
              </w:rPr>
              <w:tab/>
            </w:r>
            <w:r>
              <w:rPr>
                <w:noProof/>
                <w:webHidden/>
              </w:rPr>
              <w:fldChar w:fldCharType="begin"/>
            </w:r>
            <w:r>
              <w:rPr>
                <w:noProof/>
                <w:webHidden/>
              </w:rPr>
              <w:instrText xml:space="preserve"> PAGEREF _Toc190354105 \h </w:instrText>
            </w:r>
            <w:r>
              <w:rPr>
                <w:noProof/>
                <w:webHidden/>
              </w:rPr>
            </w:r>
            <w:r>
              <w:rPr>
                <w:noProof/>
                <w:webHidden/>
              </w:rPr>
              <w:fldChar w:fldCharType="separate"/>
            </w:r>
            <w:r w:rsidR="00AE1996">
              <w:rPr>
                <w:noProof/>
                <w:webHidden/>
              </w:rPr>
              <w:t>17</w:t>
            </w:r>
            <w:r>
              <w:rPr>
                <w:noProof/>
                <w:webHidden/>
              </w:rPr>
              <w:fldChar w:fldCharType="end"/>
            </w:r>
          </w:hyperlink>
        </w:p>
        <w:p w:rsidR="001F675B" w:rsidRDefault="001F675B" w14:paraId="656CC5AE" w14:textId="63AB39DB">
          <w:pPr>
            <w:pStyle w:val="TOC1"/>
            <w:tabs>
              <w:tab w:val="left" w:pos="480"/>
              <w:tab w:val="right" w:leader="dot" w:pos="9628"/>
            </w:tabs>
            <w:rPr>
              <w:rFonts w:asciiTheme="minorHAnsi" w:hAnsiTheme="minorHAnsi" w:eastAsiaTheme="minorEastAsia" w:cstheme="minorBidi"/>
              <w:noProof/>
              <w:sz w:val="22"/>
              <w:szCs w:val="22"/>
              <w14:ligatures w14:val="none"/>
            </w:rPr>
          </w:pPr>
          <w:hyperlink w:history="1" w:anchor="_Toc190354106">
            <w:r w:rsidRPr="00F34965">
              <w:rPr>
                <w:rStyle w:val="Hyperlink"/>
                <w:rFonts w:ascii="Calibri" w:hAnsi="Calibri" w:cs="Calibri"/>
                <w:b/>
                <w:bCs/>
                <w:noProof/>
              </w:rPr>
              <w:t>4.</w:t>
            </w:r>
            <w:r>
              <w:rPr>
                <w:rFonts w:asciiTheme="minorHAnsi" w:hAnsiTheme="minorHAnsi" w:eastAsiaTheme="minorEastAsia" w:cstheme="minorBidi"/>
                <w:noProof/>
                <w:sz w:val="22"/>
                <w:szCs w:val="22"/>
                <w14:ligatures w14:val="none"/>
              </w:rPr>
              <w:tab/>
            </w:r>
            <w:r w:rsidRPr="00F34965">
              <w:rPr>
                <w:rStyle w:val="Hyperlink"/>
                <w:rFonts w:ascii="Calibri" w:hAnsi="Calibri" w:cs="Calibri"/>
                <w:b/>
                <w:bCs/>
                <w:noProof/>
              </w:rPr>
              <w:t>Le verifiche di gestione</w:t>
            </w:r>
            <w:r>
              <w:rPr>
                <w:noProof/>
                <w:webHidden/>
              </w:rPr>
              <w:tab/>
            </w:r>
            <w:r>
              <w:rPr>
                <w:noProof/>
                <w:webHidden/>
              </w:rPr>
              <w:fldChar w:fldCharType="begin"/>
            </w:r>
            <w:r>
              <w:rPr>
                <w:noProof/>
                <w:webHidden/>
              </w:rPr>
              <w:instrText xml:space="preserve"> PAGEREF _Toc190354106 \h </w:instrText>
            </w:r>
            <w:r>
              <w:rPr>
                <w:noProof/>
                <w:webHidden/>
              </w:rPr>
            </w:r>
            <w:r>
              <w:rPr>
                <w:noProof/>
                <w:webHidden/>
              </w:rPr>
              <w:fldChar w:fldCharType="separate"/>
            </w:r>
            <w:r w:rsidR="00AE1996">
              <w:rPr>
                <w:noProof/>
                <w:webHidden/>
              </w:rPr>
              <w:t>18</w:t>
            </w:r>
            <w:r>
              <w:rPr>
                <w:noProof/>
                <w:webHidden/>
              </w:rPr>
              <w:fldChar w:fldCharType="end"/>
            </w:r>
          </w:hyperlink>
        </w:p>
        <w:p w:rsidR="001F675B" w:rsidRDefault="001F675B" w14:paraId="18E8973B" w14:textId="72F04F93">
          <w:pPr>
            <w:pStyle w:val="TOC2"/>
            <w:rPr>
              <w:rFonts w:asciiTheme="minorHAnsi" w:hAnsiTheme="minorHAnsi" w:eastAsiaTheme="minorEastAsia" w:cstheme="minorBidi"/>
              <w:noProof/>
              <w:sz w:val="22"/>
              <w:szCs w:val="22"/>
              <w:lang w:val="it-IT"/>
              <w14:ligatures w14:val="none"/>
            </w:rPr>
          </w:pPr>
          <w:hyperlink w:history="1" w:anchor="_Toc190354107">
            <w:r w:rsidRPr="00F34965">
              <w:rPr>
                <w:rStyle w:val="Hyperlink"/>
                <w:b/>
                <w:bCs/>
                <w:noProof/>
              </w:rPr>
              <w:t>4.1</w:t>
            </w:r>
            <w:r>
              <w:rPr>
                <w:rFonts w:asciiTheme="minorHAnsi" w:hAnsiTheme="minorHAnsi" w:eastAsiaTheme="minorEastAsia" w:cstheme="minorBidi"/>
                <w:noProof/>
                <w:sz w:val="22"/>
                <w:szCs w:val="22"/>
                <w:lang w:val="it-IT"/>
                <w14:ligatures w14:val="none"/>
              </w:rPr>
              <w:tab/>
            </w:r>
            <w:r w:rsidRPr="00F34965">
              <w:rPr>
                <w:rStyle w:val="Hyperlink"/>
                <w:b/>
                <w:bCs/>
                <w:noProof/>
              </w:rPr>
              <w:t>Le varie tipologie di controllo</w:t>
            </w:r>
            <w:r>
              <w:rPr>
                <w:noProof/>
                <w:webHidden/>
              </w:rPr>
              <w:tab/>
            </w:r>
            <w:r>
              <w:rPr>
                <w:noProof/>
                <w:webHidden/>
              </w:rPr>
              <w:fldChar w:fldCharType="begin"/>
            </w:r>
            <w:r>
              <w:rPr>
                <w:noProof/>
                <w:webHidden/>
              </w:rPr>
              <w:instrText xml:space="preserve"> PAGEREF _Toc190354107 \h </w:instrText>
            </w:r>
            <w:r>
              <w:rPr>
                <w:noProof/>
                <w:webHidden/>
              </w:rPr>
            </w:r>
            <w:r>
              <w:rPr>
                <w:noProof/>
                <w:webHidden/>
              </w:rPr>
              <w:fldChar w:fldCharType="separate"/>
            </w:r>
            <w:r w:rsidR="00AE1996">
              <w:rPr>
                <w:noProof/>
                <w:webHidden/>
              </w:rPr>
              <w:t>19</w:t>
            </w:r>
            <w:r>
              <w:rPr>
                <w:noProof/>
                <w:webHidden/>
              </w:rPr>
              <w:fldChar w:fldCharType="end"/>
            </w:r>
          </w:hyperlink>
        </w:p>
        <w:p w:rsidR="001F675B" w:rsidRDefault="001F675B" w14:paraId="2DFE5EF1" w14:textId="6465896D">
          <w:pPr>
            <w:pStyle w:val="TOC2"/>
            <w:rPr>
              <w:rFonts w:asciiTheme="minorHAnsi" w:hAnsiTheme="minorHAnsi" w:eastAsiaTheme="minorEastAsia" w:cstheme="minorBidi"/>
              <w:noProof/>
              <w:sz w:val="22"/>
              <w:szCs w:val="22"/>
              <w:lang w:val="it-IT"/>
              <w14:ligatures w14:val="none"/>
            </w:rPr>
          </w:pPr>
          <w:hyperlink w:history="1" w:anchor="_Toc190354108">
            <w:r w:rsidRPr="00F34965">
              <w:rPr>
                <w:rStyle w:val="Hyperlink"/>
                <w:b/>
                <w:bCs/>
                <w:noProof/>
              </w:rPr>
              <w:t>4.2</w:t>
            </w:r>
            <w:r>
              <w:rPr>
                <w:rFonts w:asciiTheme="minorHAnsi" w:hAnsiTheme="minorHAnsi" w:eastAsiaTheme="minorEastAsia" w:cstheme="minorBidi"/>
                <w:noProof/>
                <w:sz w:val="22"/>
                <w:szCs w:val="22"/>
                <w:lang w:val="it-IT"/>
                <w14:ligatures w14:val="none"/>
              </w:rPr>
              <w:tab/>
            </w:r>
            <w:r w:rsidRPr="00F34965">
              <w:rPr>
                <w:rStyle w:val="Hyperlink"/>
                <w:b/>
                <w:bCs/>
                <w:noProof/>
              </w:rPr>
              <w:t>Le verifiche amministrative</w:t>
            </w:r>
            <w:r>
              <w:rPr>
                <w:noProof/>
                <w:webHidden/>
              </w:rPr>
              <w:tab/>
            </w:r>
            <w:r>
              <w:rPr>
                <w:noProof/>
                <w:webHidden/>
              </w:rPr>
              <w:fldChar w:fldCharType="begin"/>
            </w:r>
            <w:r>
              <w:rPr>
                <w:noProof/>
                <w:webHidden/>
              </w:rPr>
              <w:instrText xml:space="preserve"> PAGEREF _Toc190354108 \h </w:instrText>
            </w:r>
            <w:r>
              <w:rPr>
                <w:noProof/>
                <w:webHidden/>
              </w:rPr>
            </w:r>
            <w:r>
              <w:rPr>
                <w:noProof/>
                <w:webHidden/>
              </w:rPr>
              <w:fldChar w:fldCharType="separate"/>
            </w:r>
            <w:r w:rsidR="00AE1996">
              <w:rPr>
                <w:noProof/>
                <w:webHidden/>
              </w:rPr>
              <w:t>21</w:t>
            </w:r>
            <w:r>
              <w:rPr>
                <w:noProof/>
                <w:webHidden/>
              </w:rPr>
              <w:fldChar w:fldCharType="end"/>
            </w:r>
          </w:hyperlink>
        </w:p>
        <w:p w:rsidR="001F675B" w:rsidRDefault="001F675B" w14:paraId="128D1959" w14:textId="2E9E05CC">
          <w:pPr>
            <w:pStyle w:val="TOC2"/>
            <w:rPr>
              <w:rFonts w:asciiTheme="minorHAnsi" w:hAnsiTheme="minorHAnsi" w:eastAsiaTheme="minorEastAsia" w:cstheme="minorBidi"/>
              <w:noProof/>
              <w:sz w:val="22"/>
              <w:szCs w:val="22"/>
              <w:lang w:val="it-IT"/>
              <w14:ligatures w14:val="none"/>
            </w:rPr>
          </w:pPr>
          <w:hyperlink w:history="1" w:anchor="_Toc190354109">
            <w:r w:rsidRPr="00F34965">
              <w:rPr>
                <w:rStyle w:val="Hyperlink"/>
                <w:b/>
                <w:bCs/>
                <w:noProof/>
              </w:rPr>
              <w:t>4.3</w:t>
            </w:r>
            <w:r>
              <w:rPr>
                <w:rFonts w:asciiTheme="minorHAnsi" w:hAnsiTheme="minorHAnsi" w:eastAsiaTheme="minorEastAsia" w:cstheme="minorBidi"/>
                <w:noProof/>
                <w:sz w:val="22"/>
                <w:szCs w:val="22"/>
                <w:lang w:val="it-IT"/>
                <w14:ligatures w14:val="none"/>
              </w:rPr>
              <w:tab/>
            </w:r>
            <w:r w:rsidRPr="00F34965">
              <w:rPr>
                <w:rStyle w:val="Hyperlink"/>
                <w:b/>
                <w:bCs/>
                <w:noProof/>
              </w:rPr>
              <w:t>Le verifiche in loco</w:t>
            </w:r>
            <w:r>
              <w:rPr>
                <w:noProof/>
                <w:webHidden/>
              </w:rPr>
              <w:tab/>
            </w:r>
            <w:r>
              <w:rPr>
                <w:noProof/>
                <w:webHidden/>
              </w:rPr>
              <w:fldChar w:fldCharType="begin"/>
            </w:r>
            <w:r>
              <w:rPr>
                <w:noProof/>
                <w:webHidden/>
              </w:rPr>
              <w:instrText xml:space="preserve"> PAGEREF _Toc190354109 \h </w:instrText>
            </w:r>
            <w:r>
              <w:rPr>
                <w:noProof/>
                <w:webHidden/>
              </w:rPr>
            </w:r>
            <w:r>
              <w:rPr>
                <w:noProof/>
                <w:webHidden/>
              </w:rPr>
              <w:fldChar w:fldCharType="separate"/>
            </w:r>
            <w:r w:rsidR="00AE1996">
              <w:rPr>
                <w:noProof/>
                <w:webHidden/>
              </w:rPr>
              <w:t>22</w:t>
            </w:r>
            <w:r>
              <w:rPr>
                <w:noProof/>
                <w:webHidden/>
              </w:rPr>
              <w:fldChar w:fldCharType="end"/>
            </w:r>
          </w:hyperlink>
        </w:p>
        <w:p w:rsidR="001F675B" w:rsidRDefault="001F675B" w14:paraId="4A121DFC" w14:textId="2A55E28A">
          <w:pPr>
            <w:pStyle w:val="TOC2"/>
            <w:rPr>
              <w:rFonts w:asciiTheme="minorHAnsi" w:hAnsiTheme="minorHAnsi" w:eastAsiaTheme="minorEastAsia" w:cstheme="minorBidi"/>
              <w:noProof/>
              <w:sz w:val="22"/>
              <w:szCs w:val="22"/>
              <w:lang w:val="it-IT"/>
              <w14:ligatures w14:val="none"/>
            </w:rPr>
          </w:pPr>
          <w:hyperlink w:history="1" w:anchor="_Toc190354110">
            <w:r w:rsidRPr="00F34965">
              <w:rPr>
                <w:rStyle w:val="Hyperlink"/>
                <w:b/>
                <w:bCs/>
                <w:noProof/>
              </w:rPr>
              <w:t>4.4</w:t>
            </w:r>
            <w:r>
              <w:rPr>
                <w:rFonts w:asciiTheme="minorHAnsi" w:hAnsiTheme="minorHAnsi" w:eastAsiaTheme="minorEastAsia" w:cstheme="minorBidi"/>
                <w:noProof/>
                <w:sz w:val="22"/>
                <w:szCs w:val="22"/>
                <w:lang w:val="it-IT"/>
                <w14:ligatures w14:val="none"/>
              </w:rPr>
              <w:tab/>
            </w:r>
            <w:r w:rsidRPr="00F34965">
              <w:rPr>
                <w:rStyle w:val="Hyperlink"/>
                <w:b/>
                <w:bCs/>
                <w:noProof/>
              </w:rPr>
              <w:t>Procedura di campionamento dei controlli amministrativi e in loco</w:t>
            </w:r>
            <w:r>
              <w:rPr>
                <w:noProof/>
                <w:webHidden/>
              </w:rPr>
              <w:tab/>
            </w:r>
            <w:r>
              <w:rPr>
                <w:noProof/>
                <w:webHidden/>
              </w:rPr>
              <w:fldChar w:fldCharType="begin"/>
            </w:r>
            <w:r>
              <w:rPr>
                <w:noProof/>
                <w:webHidden/>
              </w:rPr>
              <w:instrText xml:space="preserve"> PAGEREF _Toc190354110 \h </w:instrText>
            </w:r>
            <w:r>
              <w:rPr>
                <w:noProof/>
                <w:webHidden/>
              </w:rPr>
            </w:r>
            <w:r>
              <w:rPr>
                <w:noProof/>
                <w:webHidden/>
              </w:rPr>
              <w:fldChar w:fldCharType="separate"/>
            </w:r>
            <w:r w:rsidR="00AE1996">
              <w:rPr>
                <w:noProof/>
                <w:webHidden/>
              </w:rPr>
              <w:t>23</w:t>
            </w:r>
            <w:r>
              <w:rPr>
                <w:noProof/>
                <w:webHidden/>
              </w:rPr>
              <w:fldChar w:fldCharType="end"/>
            </w:r>
          </w:hyperlink>
        </w:p>
        <w:p w:rsidR="001F675B" w:rsidRDefault="001F675B" w14:paraId="34151E4B" w14:textId="0A9E4C22">
          <w:pPr>
            <w:pStyle w:val="TOC2"/>
            <w:rPr>
              <w:rFonts w:asciiTheme="minorHAnsi" w:hAnsiTheme="minorHAnsi" w:eastAsiaTheme="minorEastAsia" w:cstheme="minorBidi"/>
              <w:noProof/>
              <w:sz w:val="22"/>
              <w:szCs w:val="22"/>
              <w:lang w:val="it-IT"/>
              <w14:ligatures w14:val="none"/>
            </w:rPr>
          </w:pPr>
          <w:hyperlink w:history="1" w:anchor="_Toc190354111">
            <w:r w:rsidRPr="00F34965">
              <w:rPr>
                <w:rStyle w:val="Hyperlink"/>
                <w:b/>
                <w:bCs/>
                <w:noProof/>
              </w:rPr>
              <w:t>4.5</w:t>
            </w:r>
            <w:r>
              <w:rPr>
                <w:rFonts w:asciiTheme="minorHAnsi" w:hAnsiTheme="minorHAnsi" w:eastAsiaTheme="minorEastAsia" w:cstheme="minorBidi"/>
                <w:noProof/>
                <w:sz w:val="22"/>
                <w:szCs w:val="22"/>
                <w:lang w:val="it-IT"/>
                <w14:ligatures w14:val="none"/>
              </w:rPr>
              <w:tab/>
            </w:r>
            <w:r w:rsidRPr="00F34965">
              <w:rPr>
                <w:rStyle w:val="Hyperlink"/>
                <w:b/>
                <w:bCs/>
                <w:noProof/>
              </w:rPr>
              <w:t>Controlli sui progetti finanziati dal PN Cultura 2021 – 2027</w:t>
            </w:r>
            <w:r>
              <w:rPr>
                <w:noProof/>
                <w:webHidden/>
              </w:rPr>
              <w:tab/>
            </w:r>
            <w:r>
              <w:rPr>
                <w:noProof/>
                <w:webHidden/>
              </w:rPr>
              <w:fldChar w:fldCharType="begin"/>
            </w:r>
            <w:r>
              <w:rPr>
                <w:noProof/>
                <w:webHidden/>
              </w:rPr>
              <w:instrText xml:space="preserve"> PAGEREF _Toc190354111 \h </w:instrText>
            </w:r>
            <w:r>
              <w:rPr>
                <w:noProof/>
                <w:webHidden/>
              </w:rPr>
            </w:r>
            <w:r>
              <w:rPr>
                <w:noProof/>
                <w:webHidden/>
              </w:rPr>
              <w:fldChar w:fldCharType="separate"/>
            </w:r>
            <w:r w:rsidR="00AE1996">
              <w:rPr>
                <w:noProof/>
                <w:webHidden/>
              </w:rPr>
              <w:t>26</w:t>
            </w:r>
            <w:r>
              <w:rPr>
                <w:noProof/>
                <w:webHidden/>
              </w:rPr>
              <w:fldChar w:fldCharType="end"/>
            </w:r>
          </w:hyperlink>
        </w:p>
        <w:p w:rsidR="001F675B" w:rsidRDefault="001F675B" w14:paraId="2938039B" w14:textId="18E34E1F">
          <w:pPr>
            <w:pStyle w:val="TOC2"/>
            <w:rPr>
              <w:rFonts w:asciiTheme="minorHAnsi" w:hAnsiTheme="minorHAnsi" w:eastAsiaTheme="minorEastAsia" w:cstheme="minorBidi"/>
              <w:noProof/>
              <w:sz w:val="22"/>
              <w:szCs w:val="22"/>
              <w:lang w:val="it-IT"/>
              <w14:ligatures w14:val="none"/>
            </w:rPr>
          </w:pPr>
          <w:hyperlink w:history="1" w:anchor="_Toc190354112">
            <w:r w:rsidRPr="00F34965">
              <w:rPr>
                <w:rStyle w:val="Hyperlink"/>
                <w:b/>
                <w:bCs/>
                <w:noProof/>
              </w:rPr>
              <w:t>4.6</w:t>
            </w:r>
            <w:r>
              <w:rPr>
                <w:rFonts w:asciiTheme="minorHAnsi" w:hAnsiTheme="minorHAnsi" w:eastAsiaTheme="minorEastAsia" w:cstheme="minorBidi"/>
                <w:noProof/>
                <w:sz w:val="22"/>
                <w:szCs w:val="22"/>
                <w:lang w:val="it-IT"/>
                <w14:ligatures w14:val="none"/>
              </w:rPr>
              <w:tab/>
            </w:r>
            <w:r w:rsidRPr="00F34965">
              <w:rPr>
                <w:rStyle w:val="Hyperlink"/>
                <w:b/>
                <w:bCs/>
                <w:noProof/>
              </w:rPr>
              <w:t>Azioni del PN Cultura 2021 – 2027</w:t>
            </w:r>
            <w:r>
              <w:rPr>
                <w:noProof/>
                <w:webHidden/>
              </w:rPr>
              <w:tab/>
            </w:r>
            <w:r>
              <w:rPr>
                <w:noProof/>
                <w:webHidden/>
              </w:rPr>
              <w:fldChar w:fldCharType="begin"/>
            </w:r>
            <w:r>
              <w:rPr>
                <w:noProof/>
                <w:webHidden/>
              </w:rPr>
              <w:instrText xml:space="preserve"> PAGEREF _Toc190354112 \h </w:instrText>
            </w:r>
            <w:r>
              <w:rPr>
                <w:noProof/>
                <w:webHidden/>
              </w:rPr>
            </w:r>
            <w:r>
              <w:rPr>
                <w:noProof/>
                <w:webHidden/>
              </w:rPr>
              <w:fldChar w:fldCharType="separate"/>
            </w:r>
            <w:r w:rsidR="00AE1996">
              <w:rPr>
                <w:noProof/>
                <w:webHidden/>
              </w:rPr>
              <w:t>27</w:t>
            </w:r>
            <w:r>
              <w:rPr>
                <w:noProof/>
                <w:webHidden/>
              </w:rPr>
              <w:fldChar w:fldCharType="end"/>
            </w:r>
          </w:hyperlink>
        </w:p>
        <w:p w:rsidR="001F675B" w:rsidRDefault="001F675B" w14:paraId="64EF1B69" w14:textId="78EE128A">
          <w:pPr>
            <w:pStyle w:val="TOC2"/>
            <w:rPr>
              <w:rFonts w:asciiTheme="minorHAnsi" w:hAnsiTheme="minorHAnsi" w:eastAsiaTheme="minorEastAsia" w:cstheme="minorBidi"/>
              <w:noProof/>
              <w:sz w:val="22"/>
              <w:szCs w:val="22"/>
              <w:lang w:val="it-IT"/>
              <w14:ligatures w14:val="none"/>
            </w:rPr>
          </w:pPr>
          <w:hyperlink w:history="1" w:anchor="_Toc190354113">
            <w:r w:rsidRPr="00F34965">
              <w:rPr>
                <w:rStyle w:val="Hyperlink"/>
                <w:b/>
                <w:bCs/>
                <w:noProof/>
              </w:rPr>
              <w:t>4.7</w:t>
            </w:r>
            <w:r>
              <w:rPr>
                <w:rFonts w:asciiTheme="minorHAnsi" w:hAnsiTheme="minorHAnsi" w:eastAsiaTheme="minorEastAsia" w:cstheme="minorBidi"/>
                <w:noProof/>
                <w:sz w:val="22"/>
                <w:szCs w:val="22"/>
                <w:lang w:val="it-IT"/>
                <w14:ligatures w14:val="none"/>
              </w:rPr>
              <w:tab/>
            </w:r>
            <w:r w:rsidRPr="00F34965">
              <w:rPr>
                <w:rStyle w:val="Hyperlink"/>
                <w:b/>
                <w:bCs/>
                <w:noProof/>
              </w:rPr>
              <w:t>Operazioni scaglionabili su due periodi di programmazione</w:t>
            </w:r>
            <w:r>
              <w:rPr>
                <w:noProof/>
                <w:webHidden/>
              </w:rPr>
              <w:tab/>
            </w:r>
            <w:r>
              <w:rPr>
                <w:noProof/>
                <w:webHidden/>
              </w:rPr>
              <w:fldChar w:fldCharType="begin"/>
            </w:r>
            <w:r>
              <w:rPr>
                <w:noProof/>
                <w:webHidden/>
              </w:rPr>
              <w:instrText xml:space="preserve"> PAGEREF _Toc190354113 \h </w:instrText>
            </w:r>
            <w:r>
              <w:rPr>
                <w:noProof/>
                <w:webHidden/>
              </w:rPr>
            </w:r>
            <w:r>
              <w:rPr>
                <w:noProof/>
                <w:webHidden/>
              </w:rPr>
              <w:fldChar w:fldCharType="separate"/>
            </w:r>
            <w:r w:rsidR="00AE1996">
              <w:rPr>
                <w:noProof/>
                <w:webHidden/>
              </w:rPr>
              <w:t>33</w:t>
            </w:r>
            <w:r>
              <w:rPr>
                <w:noProof/>
                <w:webHidden/>
              </w:rPr>
              <w:fldChar w:fldCharType="end"/>
            </w:r>
          </w:hyperlink>
        </w:p>
        <w:p w:rsidR="001F675B" w:rsidRDefault="001F675B" w14:paraId="43FB7DA3" w14:textId="5623C78A">
          <w:pPr>
            <w:pStyle w:val="TOC2"/>
            <w:rPr>
              <w:rFonts w:asciiTheme="minorHAnsi" w:hAnsiTheme="minorHAnsi" w:eastAsiaTheme="minorEastAsia" w:cstheme="minorBidi"/>
              <w:noProof/>
              <w:sz w:val="22"/>
              <w:szCs w:val="22"/>
              <w:lang w:val="it-IT"/>
              <w14:ligatures w14:val="none"/>
            </w:rPr>
          </w:pPr>
          <w:hyperlink w:history="1" w:anchor="_Toc190354114">
            <w:r w:rsidRPr="00F34965">
              <w:rPr>
                <w:rStyle w:val="Hyperlink"/>
                <w:b/>
                <w:bCs/>
                <w:noProof/>
              </w:rPr>
              <w:t>4.8</w:t>
            </w:r>
            <w:r>
              <w:rPr>
                <w:rFonts w:asciiTheme="minorHAnsi" w:hAnsiTheme="minorHAnsi" w:eastAsiaTheme="minorEastAsia" w:cstheme="minorBidi"/>
                <w:noProof/>
                <w:sz w:val="22"/>
                <w:szCs w:val="22"/>
                <w:lang w:val="it-IT"/>
                <w14:ligatures w14:val="none"/>
              </w:rPr>
              <w:tab/>
            </w:r>
            <w:r w:rsidRPr="00F34965">
              <w:rPr>
                <w:rStyle w:val="Hyperlink"/>
                <w:b/>
                <w:bCs/>
                <w:noProof/>
              </w:rPr>
              <w:t>Strumenti finanziari – 1.3.1</w:t>
            </w:r>
            <w:r>
              <w:rPr>
                <w:noProof/>
                <w:webHidden/>
              </w:rPr>
              <w:tab/>
            </w:r>
            <w:r>
              <w:rPr>
                <w:noProof/>
                <w:webHidden/>
              </w:rPr>
              <w:fldChar w:fldCharType="begin"/>
            </w:r>
            <w:r>
              <w:rPr>
                <w:noProof/>
                <w:webHidden/>
              </w:rPr>
              <w:instrText xml:space="preserve"> PAGEREF _Toc190354114 \h </w:instrText>
            </w:r>
            <w:r>
              <w:rPr>
                <w:noProof/>
                <w:webHidden/>
              </w:rPr>
            </w:r>
            <w:r>
              <w:rPr>
                <w:noProof/>
                <w:webHidden/>
              </w:rPr>
              <w:fldChar w:fldCharType="separate"/>
            </w:r>
            <w:r w:rsidR="00AE1996">
              <w:rPr>
                <w:noProof/>
                <w:webHidden/>
              </w:rPr>
              <w:t>34</w:t>
            </w:r>
            <w:r>
              <w:rPr>
                <w:noProof/>
                <w:webHidden/>
              </w:rPr>
              <w:fldChar w:fldCharType="end"/>
            </w:r>
          </w:hyperlink>
        </w:p>
        <w:p w:rsidR="001F675B" w:rsidRDefault="001F675B" w14:paraId="220F9EAC" w14:textId="0C40700C">
          <w:pPr>
            <w:pStyle w:val="TOC2"/>
            <w:rPr>
              <w:rFonts w:asciiTheme="minorHAnsi" w:hAnsiTheme="minorHAnsi" w:eastAsiaTheme="minorEastAsia" w:cstheme="minorBidi"/>
              <w:noProof/>
              <w:sz w:val="22"/>
              <w:szCs w:val="22"/>
              <w:lang w:val="it-IT"/>
              <w14:ligatures w14:val="none"/>
            </w:rPr>
          </w:pPr>
          <w:hyperlink w:history="1" w:anchor="_Toc190354115">
            <w:r w:rsidRPr="00F34965">
              <w:rPr>
                <w:rStyle w:val="Hyperlink"/>
                <w:b/>
                <w:bCs/>
                <w:noProof/>
              </w:rPr>
              <w:t>4.9</w:t>
            </w:r>
            <w:r>
              <w:rPr>
                <w:rFonts w:asciiTheme="minorHAnsi" w:hAnsiTheme="minorHAnsi" w:eastAsiaTheme="minorEastAsia" w:cstheme="minorBidi"/>
                <w:noProof/>
                <w:sz w:val="22"/>
                <w:szCs w:val="22"/>
                <w:lang w:val="it-IT"/>
                <w14:ligatures w14:val="none"/>
              </w:rPr>
              <w:tab/>
            </w:r>
            <w:r w:rsidRPr="00F34965">
              <w:rPr>
                <w:rStyle w:val="Hyperlink"/>
                <w:b/>
                <w:bCs/>
                <w:noProof/>
              </w:rPr>
              <w:t>Esito delle verifiche di gestione</w:t>
            </w:r>
            <w:r>
              <w:rPr>
                <w:noProof/>
                <w:webHidden/>
              </w:rPr>
              <w:tab/>
            </w:r>
            <w:r>
              <w:rPr>
                <w:noProof/>
                <w:webHidden/>
              </w:rPr>
              <w:fldChar w:fldCharType="begin"/>
            </w:r>
            <w:r>
              <w:rPr>
                <w:noProof/>
                <w:webHidden/>
              </w:rPr>
              <w:instrText xml:space="preserve"> PAGEREF _Toc190354115 \h </w:instrText>
            </w:r>
            <w:r>
              <w:rPr>
                <w:noProof/>
                <w:webHidden/>
              </w:rPr>
            </w:r>
            <w:r>
              <w:rPr>
                <w:noProof/>
                <w:webHidden/>
              </w:rPr>
              <w:fldChar w:fldCharType="separate"/>
            </w:r>
            <w:r w:rsidR="00AE1996">
              <w:rPr>
                <w:noProof/>
                <w:webHidden/>
              </w:rPr>
              <w:t>36</w:t>
            </w:r>
            <w:r>
              <w:rPr>
                <w:noProof/>
                <w:webHidden/>
              </w:rPr>
              <w:fldChar w:fldCharType="end"/>
            </w:r>
          </w:hyperlink>
        </w:p>
        <w:p w:rsidR="001F675B" w:rsidRDefault="001F675B" w14:paraId="4C46F8C3" w14:textId="3FD1E206">
          <w:pPr>
            <w:pStyle w:val="TOC2"/>
            <w:rPr>
              <w:rFonts w:asciiTheme="minorHAnsi" w:hAnsiTheme="minorHAnsi" w:eastAsiaTheme="minorEastAsia" w:cstheme="minorBidi"/>
              <w:noProof/>
              <w:sz w:val="22"/>
              <w:szCs w:val="22"/>
              <w:lang w:val="it-IT"/>
              <w14:ligatures w14:val="none"/>
            </w:rPr>
          </w:pPr>
          <w:hyperlink w:history="1" w:anchor="_Toc190354116">
            <w:r w:rsidRPr="00F34965">
              <w:rPr>
                <w:rStyle w:val="Hyperlink"/>
                <w:b/>
                <w:bCs/>
                <w:noProof/>
              </w:rPr>
              <w:t>4.10</w:t>
            </w:r>
            <w:r>
              <w:rPr>
                <w:rFonts w:asciiTheme="minorHAnsi" w:hAnsiTheme="minorHAnsi" w:eastAsiaTheme="minorEastAsia" w:cstheme="minorBidi"/>
                <w:noProof/>
                <w:sz w:val="22"/>
                <w:szCs w:val="22"/>
                <w:lang w:val="it-IT"/>
                <w14:ligatures w14:val="none"/>
              </w:rPr>
              <w:tab/>
            </w:r>
            <w:r w:rsidRPr="00F34965">
              <w:rPr>
                <w:rStyle w:val="Hyperlink"/>
                <w:b/>
                <w:bCs/>
                <w:noProof/>
              </w:rPr>
              <w:t>Regole ammissibilità della spesa</w:t>
            </w:r>
            <w:r>
              <w:rPr>
                <w:noProof/>
                <w:webHidden/>
              </w:rPr>
              <w:tab/>
            </w:r>
            <w:r>
              <w:rPr>
                <w:noProof/>
                <w:webHidden/>
              </w:rPr>
              <w:fldChar w:fldCharType="begin"/>
            </w:r>
            <w:r>
              <w:rPr>
                <w:noProof/>
                <w:webHidden/>
              </w:rPr>
              <w:instrText xml:space="preserve"> PAGEREF _Toc190354116 \h </w:instrText>
            </w:r>
            <w:r>
              <w:rPr>
                <w:noProof/>
                <w:webHidden/>
              </w:rPr>
            </w:r>
            <w:r>
              <w:rPr>
                <w:noProof/>
                <w:webHidden/>
              </w:rPr>
              <w:fldChar w:fldCharType="separate"/>
            </w:r>
            <w:r w:rsidR="00AE1996">
              <w:rPr>
                <w:noProof/>
                <w:webHidden/>
              </w:rPr>
              <w:t>37</w:t>
            </w:r>
            <w:r>
              <w:rPr>
                <w:noProof/>
                <w:webHidden/>
              </w:rPr>
              <w:fldChar w:fldCharType="end"/>
            </w:r>
          </w:hyperlink>
        </w:p>
        <w:p w:rsidR="001F675B" w:rsidRDefault="001F675B" w14:paraId="59C2273B" w14:textId="632B3775">
          <w:pPr>
            <w:pStyle w:val="TOC1"/>
            <w:tabs>
              <w:tab w:val="left" w:pos="480"/>
              <w:tab w:val="right" w:leader="dot" w:pos="9628"/>
            </w:tabs>
            <w:rPr>
              <w:rFonts w:asciiTheme="minorHAnsi" w:hAnsiTheme="minorHAnsi" w:eastAsiaTheme="minorEastAsia" w:cstheme="minorBidi"/>
              <w:noProof/>
              <w:sz w:val="22"/>
              <w:szCs w:val="22"/>
              <w14:ligatures w14:val="none"/>
            </w:rPr>
          </w:pPr>
          <w:hyperlink w:history="1" w:anchor="_Toc190354117">
            <w:r w:rsidRPr="00F34965">
              <w:rPr>
                <w:rStyle w:val="Hyperlink"/>
                <w:rFonts w:ascii="Calibri" w:hAnsi="Calibri" w:cs="Calibri"/>
                <w:b/>
                <w:bCs/>
                <w:noProof/>
              </w:rPr>
              <w:t>5</w:t>
            </w:r>
            <w:r>
              <w:rPr>
                <w:rFonts w:asciiTheme="minorHAnsi" w:hAnsiTheme="minorHAnsi" w:eastAsiaTheme="minorEastAsia" w:cstheme="minorBidi"/>
                <w:noProof/>
                <w:sz w:val="22"/>
                <w:szCs w:val="22"/>
                <w14:ligatures w14:val="none"/>
              </w:rPr>
              <w:tab/>
            </w:r>
            <w:r w:rsidRPr="00F34965">
              <w:rPr>
                <w:rStyle w:val="Hyperlink"/>
                <w:rFonts w:ascii="Calibri" w:hAnsi="Calibri" w:cs="Calibri"/>
                <w:b/>
                <w:bCs/>
                <w:noProof/>
              </w:rPr>
              <w:t>Rilevazione delle irregolarità</w:t>
            </w:r>
            <w:r>
              <w:rPr>
                <w:noProof/>
                <w:webHidden/>
              </w:rPr>
              <w:tab/>
            </w:r>
            <w:r>
              <w:rPr>
                <w:noProof/>
                <w:webHidden/>
              </w:rPr>
              <w:fldChar w:fldCharType="begin"/>
            </w:r>
            <w:r>
              <w:rPr>
                <w:noProof/>
                <w:webHidden/>
              </w:rPr>
              <w:instrText xml:space="preserve"> PAGEREF _Toc190354117 \h </w:instrText>
            </w:r>
            <w:r>
              <w:rPr>
                <w:noProof/>
                <w:webHidden/>
              </w:rPr>
            </w:r>
            <w:r>
              <w:rPr>
                <w:noProof/>
                <w:webHidden/>
              </w:rPr>
              <w:fldChar w:fldCharType="separate"/>
            </w:r>
            <w:r w:rsidR="00AE1996">
              <w:rPr>
                <w:noProof/>
                <w:webHidden/>
              </w:rPr>
              <w:t>38</w:t>
            </w:r>
            <w:r>
              <w:rPr>
                <w:noProof/>
                <w:webHidden/>
              </w:rPr>
              <w:fldChar w:fldCharType="end"/>
            </w:r>
          </w:hyperlink>
        </w:p>
        <w:p w:rsidR="001F675B" w:rsidRDefault="001F675B" w14:paraId="0867ECD6" w14:textId="74CF5BA7">
          <w:pPr>
            <w:pStyle w:val="TOC2"/>
            <w:rPr>
              <w:rFonts w:asciiTheme="minorHAnsi" w:hAnsiTheme="minorHAnsi" w:eastAsiaTheme="minorEastAsia" w:cstheme="minorBidi"/>
              <w:noProof/>
              <w:sz w:val="22"/>
              <w:szCs w:val="22"/>
              <w:lang w:val="it-IT"/>
              <w14:ligatures w14:val="none"/>
            </w:rPr>
          </w:pPr>
          <w:hyperlink w:history="1" w:anchor="_Toc190354118">
            <w:r w:rsidRPr="00F34965">
              <w:rPr>
                <w:rStyle w:val="Hyperlink"/>
                <w:b/>
                <w:bCs/>
                <w:noProof/>
              </w:rPr>
              <w:t>5.1</w:t>
            </w:r>
            <w:r>
              <w:rPr>
                <w:rFonts w:asciiTheme="minorHAnsi" w:hAnsiTheme="minorHAnsi" w:eastAsiaTheme="minorEastAsia" w:cstheme="minorBidi"/>
                <w:noProof/>
                <w:sz w:val="22"/>
                <w:szCs w:val="22"/>
                <w:lang w:val="it-IT"/>
                <w14:ligatures w14:val="none"/>
              </w:rPr>
              <w:tab/>
            </w:r>
            <w:r w:rsidRPr="00F34965">
              <w:rPr>
                <w:rStyle w:val="Hyperlink"/>
                <w:b/>
                <w:bCs/>
                <w:noProof/>
              </w:rPr>
              <w:t>Gruppo di lavoro di valutazione dei rischi di frode</w:t>
            </w:r>
            <w:r>
              <w:rPr>
                <w:noProof/>
                <w:webHidden/>
              </w:rPr>
              <w:tab/>
            </w:r>
            <w:r>
              <w:rPr>
                <w:noProof/>
                <w:webHidden/>
              </w:rPr>
              <w:fldChar w:fldCharType="begin"/>
            </w:r>
            <w:r>
              <w:rPr>
                <w:noProof/>
                <w:webHidden/>
              </w:rPr>
              <w:instrText xml:space="preserve"> PAGEREF _Toc190354118 \h </w:instrText>
            </w:r>
            <w:r>
              <w:rPr>
                <w:noProof/>
                <w:webHidden/>
              </w:rPr>
            </w:r>
            <w:r>
              <w:rPr>
                <w:noProof/>
                <w:webHidden/>
              </w:rPr>
              <w:fldChar w:fldCharType="separate"/>
            </w:r>
            <w:r w:rsidR="00AE1996">
              <w:rPr>
                <w:noProof/>
                <w:webHidden/>
              </w:rPr>
              <w:t>39</w:t>
            </w:r>
            <w:r>
              <w:rPr>
                <w:noProof/>
                <w:webHidden/>
              </w:rPr>
              <w:fldChar w:fldCharType="end"/>
            </w:r>
          </w:hyperlink>
        </w:p>
        <w:p w:rsidR="001F675B" w:rsidRDefault="001F675B" w14:paraId="15F57E86" w14:textId="6398BE26">
          <w:pPr>
            <w:pStyle w:val="TOC1"/>
            <w:tabs>
              <w:tab w:val="left" w:pos="480"/>
              <w:tab w:val="right" w:leader="dot" w:pos="9628"/>
            </w:tabs>
            <w:rPr>
              <w:rFonts w:asciiTheme="minorHAnsi" w:hAnsiTheme="minorHAnsi" w:eastAsiaTheme="minorEastAsia" w:cstheme="minorBidi"/>
              <w:noProof/>
              <w:sz w:val="22"/>
              <w:szCs w:val="22"/>
              <w14:ligatures w14:val="none"/>
            </w:rPr>
          </w:pPr>
          <w:hyperlink w:history="1" w:anchor="_Toc190354119">
            <w:r w:rsidRPr="00F34965">
              <w:rPr>
                <w:rStyle w:val="Hyperlink"/>
                <w:rFonts w:ascii="Calibri" w:hAnsi="Calibri" w:cs="Calibri"/>
                <w:b/>
                <w:bCs/>
                <w:noProof/>
              </w:rPr>
              <w:t>6</w:t>
            </w:r>
            <w:r>
              <w:rPr>
                <w:rFonts w:asciiTheme="minorHAnsi" w:hAnsiTheme="minorHAnsi" w:eastAsiaTheme="minorEastAsia" w:cstheme="minorBidi"/>
                <w:noProof/>
                <w:sz w:val="22"/>
                <w:szCs w:val="22"/>
                <w14:ligatures w14:val="none"/>
              </w:rPr>
              <w:tab/>
            </w:r>
            <w:r w:rsidRPr="00F34965">
              <w:rPr>
                <w:rStyle w:val="Hyperlink"/>
                <w:rFonts w:ascii="Calibri" w:hAnsi="Calibri" w:cs="Calibri"/>
                <w:b/>
                <w:bCs/>
                <w:noProof/>
              </w:rPr>
              <w:t>Modalità di trattamento delle spese inammissibili e irregolari</w:t>
            </w:r>
            <w:r>
              <w:rPr>
                <w:noProof/>
                <w:webHidden/>
              </w:rPr>
              <w:tab/>
            </w:r>
            <w:r>
              <w:rPr>
                <w:noProof/>
                <w:webHidden/>
              </w:rPr>
              <w:fldChar w:fldCharType="begin"/>
            </w:r>
            <w:r>
              <w:rPr>
                <w:noProof/>
                <w:webHidden/>
              </w:rPr>
              <w:instrText xml:space="preserve"> PAGEREF _Toc190354119 \h </w:instrText>
            </w:r>
            <w:r>
              <w:rPr>
                <w:noProof/>
                <w:webHidden/>
              </w:rPr>
            </w:r>
            <w:r>
              <w:rPr>
                <w:noProof/>
                <w:webHidden/>
              </w:rPr>
              <w:fldChar w:fldCharType="separate"/>
            </w:r>
            <w:r w:rsidR="00AE1996">
              <w:rPr>
                <w:noProof/>
                <w:webHidden/>
              </w:rPr>
              <w:t>41</w:t>
            </w:r>
            <w:r>
              <w:rPr>
                <w:noProof/>
                <w:webHidden/>
              </w:rPr>
              <w:fldChar w:fldCharType="end"/>
            </w:r>
          </w:hyperlink>
        </w:p>
        <w:p w:rsidR="001F675B" w:rsidRDefault="001F675B" w14:paraId="060397AD" w14:textId="1BC466F6">
          <w:pPr>
            <w:pStyle w:val="TOC2"/>
            <w:rPr>
              <w:rFonts w:asciiTheme="minorHAnsi" w:hAnsiTheme="minorHAnsi" w:eastAsiaTheme="minorEastAsia" w:cstheme="minorBidi"/>
              <w:noProof/>
              <w:sz w:val="22"/>
              <w:szCs w:val="22"/>
              <w:lang w:val="it-IT"/>
              <w14:ligatures w14:val="none"/>
            </w:rPr>
          </w:pPr>
          <w:hyperlink w:history="1" w:anchor="_Toc190354120">
            <w:r w:rsidRPr="00F34965">
              <w:rPr>
                <w:rStyle w:val="Hyperlink"/>
                <w:b/>
                <w:bCs/>
                <w:noProof/>
              </w:rPr>
              <w:t>6.1</w:t>
            </w:r>
            <w:r>
              <w:rPr>
                <w:rFonts w:asciiTheme="minorHAnsi" w:hAnsiTheme="minorHAnsi" w:eastAsiaTheme="minorEastAsia" w:cstheme="minorBidi"/>
                <w:noProof/>
                <w:sz w:val="22"/>
                <w:szCs w:val="22"/>
                <w:lang w:val="it-IT"/>
                <w14:ligatures w14:val="none"/>
              </w:rPr>
              <w:tab/>
            </w:r>
            <w:r w:rsidRPr="00F34965">
              <w:rPr>
                <w:rStyle w:val="Hyperlink"/>
                <w:b/>
                <w:bCs/>
                <w:noProof/>
              </w:rPr>
              <w:t>Segnalazione delle irregolarità</w:t>
            </w:r>
            <w:r>
              <w:rPr>
                <w:noProof/>
                <w:webHidden/>
              </w:rPr>
              <w:tab/>
            </w:r>
            <w:r>
              <w:rPr>
                <w:noProof/>
                <w:webHidden/>
              </w:rPr>
              <w:fldChar w:fldCharType="begin"/>
            </w:r>
            <w:r>
              <w:rPr>
                <w:noProof/>
                <w:webHidden/>
              </w:rPr>
              <w:instrText xml:space="preserve"> PAGEREF _Toc190354120 \h </w:instrText>
            </w:r>
            <w:r>
              <w:rPr>
                <w:noProof/>
                <w:webHidden/>
              </w:rPr>
            </w:r>
            <w:r>
              <w:rPr>
                <w:noProof/>
                <w:webHidden/>
              </w:rPr>
              <w:fldChar w:fldCharType="separate"/>
            </w:r>
            <w:r w:rsidR="00AE1996">
              <w:rPr>
                <w:noProof/>
                <w:webHidden/>
              </w:rPr>
              <w:t>43</w:t>
            </w:r>
            <w:r>
              <w:rPr>
                <w:noProof/>
                <w:webHidden/>
              </w:rPr>
              <w:fldChar w:fldCharType="end"/>
            </w:r>
          </w:hyperlink>
        </w:p>
        <w:p w:rsidR="001F675B" w:rsidRDefault="001F675B" w14:paraId="52DE75C7" w14:textId="77C471F8">
          <w:pPr>
            <w:pStyle w:val="TOC2"/>
            <w:rPr>
              <w:rFonts w:asciiTheme="minorHAnsi" w:hAnsiTheme="minorHAnsi" w:eastAsiaTheme="minorEastAsia" w:cstheme="minorBidi"/>
              <w:noProof/>
              <w:sz w:val="22"/>
              <w:szCs w:val="22"/>
              <w:lang w:val="it-IT"/>
              <w14:ligatures w14:val="none"/>
            </w:rPr>
          </w:pPr>
          <w:hyperlink w:history="1" w:anchor="_Toc190354121">
            <w:r w:rsidRPr="00F34965">
              <w:rPr>
                <w:rStyle w:val="Hyperlink"/>
                <w:b/>
                <w:bCs/>
                <w:noProof/>
              </w:rPr>
              <w:t>6.2</w:t>
            </w:r>
            <w:r>
              <w:rPr>
                <w:rFonts w:asciiTheme="minorHAnsi" w:hAnsiTheme="minorHAnsi" w:eastAsiaTheme="minorEastAsia" w:cstheme="minorBidi"/>
                <w:noProof/>
                <w:sz w:val="22"/>
                <w:szCs w:val="22"/>
                <w:lang w:val="it-IT"/>
                <w14:ligatures w14:val="none"/>
              </w:rPr>
              <w:tab/>
            </w:r>
            <w:r w:rsidRPr="00F34965">
              <w:rPr>
                <w:rStyle w:val="Hyperlink"/>
                <w:b/>
                <w:bCs/>
                <w:noProof/>
              </w:rPr>
              <w:t>Trattamento delle irregolarità</w:t>
            </w:r>
            <w:r>
              <w:rPr>
                <w:noProof/>
                <w:webHidden/>
              </w:rPr>
              <w:tab/>
            </w:r>
            <w:r>
              <w:rPr>
                <w:noProof/>
                <w:webHidden/>
              </w:rPr>
              <w:fldChar w:fldCharType="begin"/>
            </w:r>
            <w:r>
              <w:rPr>
                <w:noProof/>
                <w:webHidden/>
              </w:rPr>
              <w:instrText xml:space="preserve"> PAGEREF _Toc190354121 \h </w:instrText>
            </w:r>
            <w:r>
              <w:rPr>
                <w:noProof/>
                <w:webHidden/>
              </w:rPr>
            </w:r>
            <w:r>
              <w:rPr>
                <w:noProof/>
                <w:webHidden/>
              </w:rPr>
              <w:fldChar w:fldCharType="separate"/>
            </w:r>
            <w:r w:rsidR="00AE1996">
              <w:rPr>
                <w:noProof/>
                <w:webHidden/>
              </w:rPr>
              <w:t>44</w:t>
            </w:r>
            <w:r>
              <w:rPr>
                <w:noProof/>
                <w:webHidden/>
              </w:rPr>
              <w:fldChar w:fldCharType="end"/>
            </w:r>
          </w:hyperlink>
        </w:p>
        <w:p w:rsidR="001F675B" w:rsidRDefault="001F675B" w14:paraId="3B593A65" w14:textId="28D4B9FE">
          <w:pPr>
            <w:pStyle w:val="TOC2"/>
            <w:rPr>
              <w:rFonts w:asciiTheme="minorHAnsi" w:hAnsiTheme="minorHAnsi" w:eastAsiaTheme="minorEastAsia" w:cstheme="minorBidi"/>
              <w:noProof/>
              <w:sz w:val="22"/>
              <w:szCs w:val="22"/>
              <w:lang w:val="it-IT"/>
              <w14:ligatures w14:val="none"/>
            </w:rPr>
          </w:pPr>
          <w:hyperlink w:history="1" w:anchor="_Toc190354122">
            <w:r w:rsidRPr="00F34965">
              <w:rPr>
                <w:rStyle w:val="Hyperlink"/>
                <w:b/>
                <w:bCs/>
                <w:noProof/>
              </w:rPr>
              <w:t>6.3</w:t>
            </w:r>
            <w:r>
              <w:rPr>
                <w:rFonts w:asciiTheme="minorHAnsi" w:hAnsiTheme="minorHAnsi" w:eastAsiaTheme="minorEastAsia" w:cstheme="minorBidi"/>
                <w:noProof/>
                <w:sz w:val="22"/>
                <w:szCs w:val="22"/>
                <w:lang w:val="it-IT"/>
                <w14:ligatures w14:val="none"/>
              </w:rPr>
              <w:tab/>
            </w:r>
            <w:r w:rsidRPr="00F34965">
              <w:rPr>
                <w:rStyle w:val="Hyperlink"/>
                <w:b/>
                <w:bCs/>
                <w:noProof/>
              </w:rPr>
              <w:t>Restituzione delle spese</w:t>
            </w:r>
            <w:r>
              <w:rPr>
                <w:noProof/>
                <w:webHidden/>
              </w:rPr>
              <w:tab/>
            </w:r>
            <w:r>
              <w:rPr>
                <w:noProof/>
                <w:webHidden/>
              </w:rPr>
              <w:fldChar w:fldCharType="begin"/>
            </w:r>
            <w:r>
              <w:rPr>
                <w:noProof/>
                <w:webHidden/>
              </w:rPr>
              <w:instrText xml:space="preserve"> PAGEREF _Toc190354122 \h </w:instrText>
            </w:r>
            <w:r>
              <w:rPr>
                <w:noProof/>
                <w:webHidden/>
              </w:rPr>
            </w:r>
            <w:r>
              <w:rPr>
                <w:noProof/>
                <w:webHidden/>
              </w:rPr>
              <w:fldChar w:fldCharType="separate"/>
            </w:r>
            <w:r w:rsidR="00AE1996">
              <w:rPr>
                <w:noProof/>
                <w:webHidden/>
              </w:rPr>
              <w:t>45</w:t>
            </w:r>
            <w:r>
              <w:rPr>
                <w:noProof/>
                <w:webHidden/>
              </w:rPr>
              <w:fldChar w:fldCharType="end"/>
            </w:r>
          </w:hyperlink>
        </w:p>
        <w:p w:rsidR="001F675B" w:rsidRDefault="001F675B" w14:paraId="69220C21" w14:textId="0DD116DD">
          <w:pPr>
            <w:pStyle w:val="TOC2"/>
            <w:rPr>
              <w:rFonts w:asciiTheme="minorHAnsi" w:hAnsiTheme="minorHAnsi" w:eastAsiaTheme="minorEastAsia" w:cstheme="minorBidi"/>
              <w:noProof/>
              <w:sz w:val="22"/>
              <w:szCs w:val="22"/>
              <w:lang w:val="it-IT"/>
              <w14:ligatures w14:val="none"/>
            </w:rPr>
          </w:pPr>
          <w:hyperlink w:history="1" w:anchor="_Toc190354123">
            <w:r w:rsidRPr="00F34965">
              <w:rPr>
                <w:rStyle w:val="Hyperlink"/>
                <w:b/>
                <w:bCs/>
                <w:noProof/>
              </w:rPr>
              <w:t>6.4</w:t>
            </w:r>
            <w:r>
              <w:rPr>
                <w:rFonts w:asciiTheme="minorHAnsi" w:hAnsiTheme="minorHAnsi" w:eastAsiaTheme="minorEastAsia" w:cstheme="minorBidi"/>
                <w:noProof/>
                <w:sz w:val="22"/>
                <w:szCs w:val="22"/>
                <w:lang w:val="it-IT"/>
                <w14:ligatures w14:val="none"/>
              </w:rPr>
              <w:tab/>
            </w:r>
            <w:r w:rsidRPr="00F34965">
              <w:rPr>
                <w:rStyle w:val="Hyperlink"/>
                <w:b/>
                <w:bCs/>
                <w:noProof/>
              </w:rPr>
              <w:t>Trattamento degli errori e analisi del rischio</w:t>
            </w:r>
            <w:r>
              <w:rPr>
                <w:noProof/>
                <w:webHidden/>
              </w:rPr>
              <w:tab/>
            </w:r>
            <w:r>
              <w:rPr>
                <w:noProof/>
                <w:webHidden/>
              </w:rPr>
              <w:fldChar w:fldCharType="begin"/>
            </w:r>
            <w:r>
              <w:rPr>
                <w:noProof/>
                <w:webHidden/>
              </w:rPr>
              <w:instrText xml:space="preserve"> PAGEREF _Toc190354123 \h </w:instrText>
            </w:r>
            <w:r>
              <w:rPr>
                <w:noProof/>
                <w:webHidden/>
              </w:rPr>
            </w:r>
            <w:r>
              <w:rPr>
                <w:noProof/>
                <w:webHidden/>
              </w:rPr>
              <w:fldChar w:fldCharType="separate"/>
            </w:r>
            <w:r w:rsidR="00AE1996">
              <w:rPr>
                <w:noProof/>
                <w:webHidden/>
              </w:rPr>
              <w:t>45</w:t>
            </w:r>
            <w:r>
              <w:rPr>
                <w:noProof/>
                <w:webHidden/>
              </w:rPr>
              <w:fldChar w:fldCharType="end"/>
            </w:r>
          </w:hyperlink>
        </w:p>
        <w:p w:rsidR="001F675B" w:rsidRDefault="001F675B" w14:paraId="5A384D37" w14:textId="31DACF07">
          <w:pPr>
            <w:pStyle w:val="TOC1"/>
            <w:tabs>
              <w:tab w:val="right" w:leader="dot" w:pos="9628"/>
            </w:tabs>
            <w:rPr>
              <w:rFonts w:asciiTheme="minorHAnsi" w:hAnsiTheme="minorHAnsi" w:eastAsiaTheme="minorEastAsia" w:cstheme="minorBidi"/>
              <w:noProof/>
              <w:sz w:val="22"/>
              <w:szCs w:val="22"/>
              <w14:ligatures w14:val="none"/>
            </w:rPr>
          </w:pPr>
          <w:hyperlink w:history="1" w:anchor="_Toc190354124">
            <w:r w:rsidRPr="00F34965">
              <w:rPr>
                <w:rStyle w:val="Hyperlink"/>
                <w:rFonts w:ascii="Calibri" w:hAnsi="Calibri" w:cs="Calibri"/>
                <w:b/>
                <w:bCs/>
                <w:noProof/>
              </w:rPr>
              <w:t>Allegati</w:t>
            </w:r>
            <w:r>
              <w:rPr>
                <w:noProof/>
                <w:webHidden/>
              </w:rPr>
              <w:tab/>
            </w:r>
            <w:r>
              <w:rPr>
                <w:noProof/>
                <w:webHidden/>
              </w:rPr>
              <w:fldChar w:fldCharType="begin"/>
            </w:r>
            <w:r>
              <w:rPr>
                <w:noProof/>
                <w:webHidden/>
              </w:rPr>
              <w:instrText xml:space="preserve"> PAGEREF _Toc190354124 \h </w:instrText>
            </w:r>
            <w:r>
              <w:rPr>
                <w:noProof/>
                <w:webHidden/>
              </w:rPr>
            </w:r>
            <w:r>
              <w:rPr>
                <w:noProof/>
                <w:webHidden/>
              </w:rPr>
              <w:fldChar w:fldCharType="separate"/>
            </w:r>
            <w:r w:rsidR="00AE1996">
              <w:rPr>
                <w:noProof/>
                <w:webHidden/>
              </w:rPr>
              <w:t>47</w:t>
            </w:r>
            <w:r>
              <w:rPr>
                <w:noProof/>
                <w:webHidden/>
              </w:rPr>
              <w:fldChar w:fldCharType="end"/>
            </w:r>
          </w:hyperlink>
        </w:p>
        <w:p w:rsidR="00942B4D" w:rsidP="52C5CEAB" w:rsidRDefault="00476FB9" w14:paraId="10F51394" w14:textId="60392427">
          <w:pPr>
            <w:pStyle w:val="TOC1"/>
            <w:tabs>
              <w:tab w:val="right" w:leader="dot" w:pos="9615"/>
            </w:tabs>
            <w:sectPr w:rsidR="00942B4D" w:rsidSect="00942B4D">
              <w:footerReference w:type="default" r:id="rId13"/>
              <w:type w:val="continuous"/>
              <w:pgSz w:w="11906" w:h="16838"/>
              <w:pgMar w:top="1417" w:right="1134" w:bottom="1134" w:left="1134" w:header="794" w:footer="794" w:gutter="0"/>
              <w:cols w:space="708"/>
              <w:titlePg/>
              <w:docGrid w:linePitch="360"/>
            </w:sectPr>
          </w:pPr>
          <w:r>
            <w:fldChar w:fldCharType="end"/>
          </w:r>
        </w:p>
        <w:p w:rsidR="00476FB9" w:rsidP="52C5CEAB" w:rsidRDefault="00905CE3" w14:paraId="4D7543A9" w14:textId="7D431121">
          <w:pPr>
            <w:pStyle w:val="TOC1"/>
            <w:tabs>
              <w:tab w:val="right" w:leader="dot" w:pos="9615"/>
            </w:tabs>
            <w:rPr>
              <w:rStyle w:val="Hyperlink"/>
              <w:b/>
              <w:bCs/>
              <w:noProof/>
              <w:kern w:val="2"/>
            </w:rPr>
          </w:pPr>
        </w:p>
      </w:sdtContent>
      <w:sdtEndPr>
        <w:rPr>
          <w:rFonts w:eastAsia="Times New Roman" w:cs="Times New Roman"/>
          <w:color w:val="auto"/>
          <w:sz w:val="24"/>
          <w:szCs w:val="24"/>
        </w:rPr>
      </w:sdtEndPr>
    </w:sdt>
    <w:p w:rsidRPr="004E7BC9" w:rsidR="00FB46DF" w:rsidP="00FB46DF" w:rsidRDefault="00FB46DF" w14:paraId="403DE752" w14:textId="26CEAD13">
      <w:pPr>
        <w:autoSpaceDE w:val="0"/>
        <w:autoSpaceDN w:val="0"/>
        <w:adjustRightInd w:val="0"/>
        <w:spacing w:after="120" w:line="312" w:lineRule="auto"/>
        <w:jc w:val="both"/>
        <w:rPr>
          <w:rFonts w:ascii="Calibri" w:hAnsi="Calibri" w:cs="Calibri"/>
          <w:color w:val="000000"/>
        </w:rPr>
      </w:pPr>
      <w:r w:rsidRPr="004E7BC9">
        <w:rPr>
          <w:rFonts w:ascii="Calibri" w:hAnsi="Calibri" w:cs="Calibri"/>
          <w:color w:val="000000"/>
        </w:rPr>
        <w:t>Il presente Manuale</w:t>
      </w:r>
      <w:r w:rsidR="00A1564D">
        <w:rPr>
          <w:rFonts w:ascii="Calibri" w:hAnsi="Calibri" w:cs="Calibri"/>
          <w:color w:val="000000"/>
        </w:rPr>
        <w:t xml:space="preserve"> e i rispettivi</w:t>
      </w:r>
      <w:r w:rsidR="002A1E9F">
        <w:rPr>
          <w:rFonts w:ascii="Calibri" w:hAnsi="Calibri" w:cs="Calibri"/>
          <w:color w:val="000000"/>
        </w:rPr>
        <w:t xml:space="preserve"> allegati sono uno degli</w:t>
      </w:r>
      <w:r w:rsidRPr="004E7BC9">
        <w:rPr>
          <w:rFonts w:ascii="Calibri" w:hAnsi="Calibri" w:cs="Calibri"/>
          <w:color w:val="000000"/>
        </w:rPr>
        <w:t xml:space="preserve"> strumenti di supporto allo svolgimento delle attività in esso disciplinate, è approvato dall’Autorità di Gestione</w:t>
      </w:r>
      <w:r>
        <w:rPr>
          <w:rFonts w:ascii="Calibri" w:hAnsi="Calibri" w:cs="Calibri"/>
          <w:color w:val="000000"/>
        </w:rPr>
        <w:t xml:space="preserve"> (di seguito AdG)</w:t>
      </w:r>
      <w:r w:rsidRPr="004E7BC9">
        <w:rPr>
          <w:rFonts w:ascii="Calibri" w:hAnsi="Calibri" w:cs="Calibri"/>
          <w:color w:val="000000"/>
        </w:rPr>
        <w:t xml:space="preserve"> e trasmesso al personale dell’AdG e delle strutture competenti coinvolte nell’attuazione del PN </w:t>
      </w:r>
      <w:r w:rsidRPr="002D656C">
        <w:rPr>
          <w:rFonts w:ascii="Calibri" w:hAnsi="Calibri" w:cs="Calibri"/>
          <w:color w:val="000000"/>
        </w:rPr>
        <w:t>previste nel Si</w:t>
      </w:r>
      <w:r>
        <w:rPr>
          <w:rFonts w:ascii="Calibri" w:hAnsi="Calibri" w:cs="Calibri"/>
          <w:color w:val="000000"/>
        </w:rPr>
        <w:t>.</w:t>
      </w:r>
      <w:r w:rsidRPr="002D656C">
        <w:rPr>
          <w:rFonts w:ascii="Calibri" w:hAnsi="Calibri" w:cs="Calibri"/>
          <w:color w:val="000000"/>
        </w:rPr>
        <w:t>Ge</w:t>
      </w:r>
      <w:r>
        <w:rPr>
          <w:rFonts w:ascii="Calibri" w:hAnsi="Calibri" w:cs="Calibri"/>
          <w:color w:val="000000"/>
        </w:rPr>
        <w:t>.</w:t>
      </w:r>
      <w:r w:rsidRPr="002D656C">
        <w:rPr>
          <w:rFonts w:ascii="Calibri" w:hAnsi="Calibri" w:cs="Calibri"/>
          <w:color w:val="000000"/>
        </w:rPr>
        <w:t>Co</w:t>
      </w:r>
      <w:r>
        <w:rPr>
          <w:rFonts w:ascii="Calibri" w:hAnsi="Calibri" w:cs="Calibri"/>
          <w:color w:val="000000"/>
        </w:rPr>
        <w:t>.</w:t>
      </w:r>
      <w:r w:rsidR="003A1B89">
        <w:rPr>
          <w:rFonts w:ascii="Calibri" w:hAnsi="Calibri" w:cs="Calibri"/>
          <w:color w:val="000000"/>
        </w:rPr>
        <w:t xml:space="preserve"> </w:t>
      </w:r>
      <w:r w:rsidRPr="004E7BC9">
        <w:rPr>
          <w:rFonts w:ascii="Calibri" w:hAnsi="Calibri" w:cs="Calibri"/>
          <w:color w:val="000000"/>
        </w:rPr>
        <w:t xml:space="preserve">Il Manuale </w:t>
      </w:r>
      <w:r w:rsidRPr="004178F2">
        <w:rPr>
          <w:rFonts w:ascii="Calibri" w:hAnsi="Calibri" w:cs="Calibri"/>
          <w:color w:val="000000"/>
        </w:rPr>
        <w:t>è pubblicato</w:t>
      </w:r>
      <w:r w:rsidRPr="004E7BC9">
        <w:rPr>
          <w:rFonts w:ascii="Calibri" w:hAnsi="Calibri" w:cs="Calibri"/>
          <w:color w:val="000000"/>
        </w:rPr>
        <w:t xml:space="preserve"> sul portale istituzionale dell’amministrazione, dedicato al PN Cultura </w:t>
      </w:r>
      <w:hyperlink w:history="1" r:id="rId14">
        <w:r w:rsidRPr="004E7BC9">
          <w:rPr>
            <w:rStyle w:val="Hyperlink"/>
            <w:rFonts w:ascii="Calibri" w:hAnsi="Calibri" w:cs="Calibri"/>
          </w:rPr>
          <w:t>https://pncultura2127.cultura.gov.it</w:t>
        </w:r>
      </w:hyperlink>
    </w:p>
    <w:p w:rsidRPr="004763CA" w:rsidR="00FB46DF" w:rsidP="004178F2" w:rsidRDefault="00FB46DF" w14:paraId="0A64DD24" w14:textId="071D0D38">
      <w:pPr>
        <w:autoSpaceDE w:val="0"/>
        <w:autoSpaceDN w:val="0"/>
        <w:adjustRightInd w:val="0"/>
        <w:spacing w:after="120" w:line="312" w:lineRule="auto"/>
        <w:jc w:val="both"/>
        <w:rPr>
          <w:rFonts w:ascii="Calibri" w:hAnsi="Calibri" w:cs="Calibri"/>
          <w:color w:val="000000"/>
        </w:rPr>
      </w:pPr>
      <w:r w:rsidRPr="004E7BC9">
        <w:rPr>
          <w:rFonts w:ascii="Calibri" w:hAnsi="Calibri" w:cs="Calibri"/>
          <w:color w:val="000000"/>
        </w:rPr>
        <w:t>Il Manuale e gli allegati potranno essere aggiornati, modificati o integrati, anche separatamente</w:t>
      </w:r>
      <w:r w:rsidR="00547391">
        <w:rPr>
          <w:rFonts w:ascii="Calibri" w:hAnsi="Calibri" w:cs="Calibri"/>
          <w:color w:val="000000"/>
        </w:rPr>
        <w:t>;</w:t>
      </w:r>
      <w:r w:rsidRPr="004E7BC9">
        <w:rPr>
          <w:rFonts w:ascii="Calibri" w:hAnsi="Calibri" w:cs="Calibri"/>
          <w:color w:val="000000"/>
        </w:rPr>
        <w:t xml:space="preserve"> </w:t>
      </w:r>
      <w:r w:rsidR="00CC1668">
        <w:rPr>
          <w:rFonts w:ascii="Calibri" w:hAnsi="Calibri" w:cs="Calibri"/>
          <w:color w:val="000000"/>
        </w:rPr>
        <w:t>essi sono uno strumento</w:t>
      </w:r>
      <w:r w:rsidRPr="004763CA">
        <w:rPr>
          <w:rFonts w:ascii="Calibri" w:hAnsi="Calibri" w:cs="Calibri"/>
          <w:color w:val="000000"/>
        </w:rPr>
        <w:t xml:space="preserve"> “</w:t>
      </w:r>
      <w:r w:rsidRPr="004763CA">
        <w:rPr>
          <w:rFonts w:ascii="Calibri" w:hAnsi="Calibri" w:cs="Calibri"/>
          <w:i/>
          <w:iCs/>
          <w:color w:val="000000"/>
        </w:rPr>
        <w:t>in progress</w:t>
      </w:r>
      <w:r w:rsidRPr="004763CA">
        <w:rPr>
          <w:rFonts w:ascii="Calibri" w:hAnsi="Calibri" w:cs="Calibri"/>
          <w:color w:val="000000"/>
        </w:rPr>
        <w:t>” suscettibili di aggiornamenti</w:t>
      </w:r>
      <w:r w:rsidR="00962215">
        <w:rPr>
          <w:rFonts w:ascii="Calibri" w:hAnsi="Calibri" w:cs="Calibri"/>
          <w:color w:val="000000"/>
        </w:rPr>
        <w:t xml:space="preserve"> </w:t>
      </w:r>
      <w:r w:rsidR="007F131A">
        <w:rPr>
          <w:rFonts w:ascii="Calibri" w:hAnsi="Calibri" w:cs="Calibri"/>
          <w:color w:val="000000"/>
        </w:rPr>
        <w:t xml:space="preserve">e </w:t>
      </w:r>
      <w:r w:rsidR="00962215">
        <w:rPr>
          <w:rFonts w:ascii="Calibri" w:hAnsi="Calibri" w:cs="Calibri"/>
          <w:color w:val="000000"/>
        </w:rPr>
        <w:t>per ognuno di essi</w:t>
      </w:r>
      <w:r w:rsidR="00722D1E">
        <w:rPr>
          <w:rFonts w:ascii="Calibri" w:hAnsi="Calibri" w:cs="Calibri"/>
          <w:color w:val="000000"/>
        </w:rPr>
        <w:t xml:space="preserve"> sarà indicato: </w:t>
      </w:r>
      <w:r w:rsidRPr="004763CA">
        <w:rPr>
          <w:rFonts w:ascii="Calibri" w:hAnsi="Calibri" w:cs="Calibri"/>
          <w:color w:val="000000"/>
        </w:rPr>
        <w:t>il numero della versione</w:t>
      </w:r>
      <w:r w:rsidR="00C91783">
        <w:rPr>
          <w:rFonts w:ascii="Calibri" w:hAnsi="Calibri" w:cs="Calibri"/>
          <w:color w:val="000000"/>
        </w:rPr>
        <w:t xml:space="preserve">, </w:t>
      </w:r>
      <w:r w:rsidRPr="004763CA">
        <w:rPr>
          <w:rFonts w:ascii="Calibri" w:hAnsi="Calibri" w:cs="Calibri"/>
          <w:color w:val="000000"/>
        </w:rPr>
        <w:t>la data di rilascio</w:t>
      </w:r>
      <w:r w:rsidR="00C91783">
        <w:rPr>
          <w:rFonts w:ascii="Calibri" w:hAnsi="Calibri" w:cs="Calibri"/>
          <w:color w:val="000000"/>
        </w:rPr>
        <w:t xml:space="preserve"> e</w:t>
      </w:r>
      <w:r w:rsidR="00C2507E">
        <w:rPr>
          <w:rFonts w:ascii="Calibri" w:hAnsi="Calibri" w:cs="Calibri"/>
          <w:color w:val="000000"/>
        </w:rPr>
        <w:t xml:space="preserve"> </w:t>
      </w:r>
      <w:r w:rsidRPr="004763CA">
        <w:rPr>
          <w:rFonts w:ascii="Calibri" w:hAnsi="Calibri" w:cs="Calibri"/>
          <w:color w:val="000000"/>
        </w:rPr>
        <w:t>una sintesi delle principali modifiche/integrazioni apportate.</w:t>
      </w:r>
    </w:p>
    <w:p w:rsidR="0094450B" w:rsidP="00FB46DF" w:rsidRDefault="00FB46DF" w14:paraId="5A846214" w14:textId="31A0BA43">
      <w:pPr>
        <w:autoSpaceDE w:val="0"/>
        <w:autoSpaceDN w:val="0"/>
        <w:adjustRightInd w:val="0"/>
        <w:spacing w:after="120" w:line="312" w:lineRule="auto"/>
        <w:rPr>
          <w:rFonts w:ascii="Calibri" w:hAnsi="Calibri" w:cs="Calibri"/>
          <w:color w:val="000000"/>
        </w:rPr>
      </w:pPr>
      <w:r w:rsidRPr="004763CA">
        <w:rPr>
          <w:rFonts w:ascii="Calibri" w:hAnsi="Calibri" w:cs="Calibri"/>
          <w:color w:val="000000"/>
        </w:rPr>
        <w:t>Nella tabella sottostante sono registrate le versioni del Manuale e le relative principali modifiche apportate.</w:t>
      </w:r>
    </w:p>
    <w:p w:rsidR="0094450B" w:rsidRDefault="0094450B" w14:paraId="7E166E75" w14:textId="6394501A">
      <w:pPr>
        <w:spacing w:after="160" w:line="259" w:lineRule="auto"/>
        <w:rPr>
          <w:rFonts w:ascii="Calibri" w:hAnsi="Calibri" w:cs="Calibri"/>
          <w:color w:val="000000"/>
        </w:rPr>
      </w:pPr>
    </w:p>
    <w:p w:rsidRPr="00436AD5" w:rsidR="005F59E1" w:rsidP="005F59E1" w:rsidRDefault="52C5CEAB" w14:paraId="103A4C84" w14:textId="72A4F0F9">
      <w:pPr>
        <w:pStyle w:val="Heading1"/>
        <w:rPr>
          <w:rFonts w:ascii="Calibri" w:hAnsi="Calibri" w:cs="Calibri"/>
          <w:b/>
          <w:bCs/>
          <w:color w:val="0070C0"/>
          <w:sz w:val="32"/>
          <w:szCs w:val="32"/>
        </w:rPr>
      </w:pPr>
      <w:bookmarkStart w:name="_Toc190354093" w:id="0"/>
      <w:r w:rsidRPr="52C5CEAB">
        <w:rPr>
          <w:rFonts w:ascii="Calibri" w:hAnsi="Calibri" w:cs="Calibri"/>
          <w:b/>
          <w:bCs/>
          <w:color w:val="0070C0"/>
          <w:sz w:val="32"/>
          <w:szCs w:val="32"/>
        </w:rPr>
        <w:t>Aggiornamenti e revisioni del presente documento</w:t>
      </w:r>
      <w:bookmarkEnd w:id="0"/>
    </w:p>
    <w:tbl>
      <w:tblPr>
        <w:tblStyle w:val="TableGrid"/>
        <w:tblW w:w="0" w:type="auto"/>
        <w:tblLook w:val="04A0" w:firstRow="1" w:lastRow="0" w:firstColumn="1" w:lastColumn="0" w:noHBand="0" w:noVBand="1"/>
      </w:tblPr>
      <w:tblGrid>
        <w:gridCol w:w="3209"/>
        <w:gridCol w:w="3209"/>
        <w:gridCol w:w="3210"/>
      </w:tblGrid>
      <w:tr w:rsidRPr="004B0644" w:rsidR="005F59E1" w:rsidTr="52C5CEAB" w14:paraId="06671D69" w14:textId="77777777">
        <w:trPr>
          <w:trHeight w:val="300"/>
        </w:trPr>
        <w:tc>
          <w:tcPr>
            <w:tcW w:w="3209" w:type="dxa"/>
            <w:shd w:val="clear" w:color="auto" w:fill="A5C9EB" w:themeFill="text2" w:themeFillTint="40"/>
          </w:tcPr>
          <w:p w:rsidRPr="004178F2" w:rsidR="005F59E1" w:rsidP="07433F88" w:rsidRDefault="3A9B815B" w14:paraId="29C76A45" w14:textId="6A2597E7">
            <w:pPr>
              <w:jc w:val="center"/>
              <w:rPr>
                <w:rFonts w:ascii="Calibri" w:hAnsi="Calibri" w:cs="Calibri"/>
                <w:b/>
                <w:bCs/>
                <w:color w:val="000000" w:themeColor="text1"/>
              </w:rPr>
            </w:pPr>
            <w:r w:rsidRPr="07433F88">
              <w:rPr>
                <w:rFonts w:ascii="Calibri" w:hAnsi="Calibri" w:cs="Calibri"/>
                <w:b/>
                <w:bCs/>
                <w:color w:val="000000" w:themeColor="text1"/>
              </w:rPr>
              <w:t>Versione</w:t>
            </w:r>
          </w:p>
        </w:tc>
        <w:tc>
          <w:tcPr>
            <w:tcW w:w="3209" w:type="dxa"/>
            <w:shd w:val="clear" w:color="auto" w:fill="A5C9EB" w:themeFill="text2" w:themeFillTint="40"/>
          </w:tcPr>
          <w:p w:rsidRPr="004178F2" w:rsidR="005F59E1" w:rsidP="07433F88" w:rsidRDefault="3A9B815B" w14:paraId="6244989B" w14:textId="4AE6CCB2">
            <w:pPr>
              <w:jc w:val="center"/>
              <w:rPr>
                <w:rFonts w:ascii="Calibri" w:hAnsi="Calibri" w:cs="Calibri"/>
                <w:b/>
                <w:bCs/>
                <w:color w:val="000000" w:themeColor="text1"/>
              </w:rPr>
            </w:pPr>
            <w:r w:rsidRPr="07433F88">
              <w:rPr>
                <w:rFonts w:ascii="Calibri" w:hAnsi="Calibri" w:cs="Calibri"/>
                <w:b/>
                <w:bCs/>
                <w:color w:val="000000" w:themeColor="text1"/>
              </w:rPr>
              <w:t>Data</w:t>
            </w:r>
          </w:p>
        </w:tc>
        <w:tc>
          <w:tcPr>
            <w:tcW w:w="3210" w:type="dxa"/>
            <w:shd w:val="clear" w:color="auto" w:fill="A5C9EB" w:themeFill="text2" w:themeFillTint="40"/>
          </w:tcPr>
          <w:p w:rsidRPr="004178F2" w:rsidR="005F59E1" w:rsidP="07433F88" w:rsidRDefault="3A9B815B" w14:paraId="7C9F4D58" w14:textId="279A8876">
            <w:pPr>
              <w:jc w:val="center"/>
              <w:rPr>
                <w:rFonts w:ascii="Calibri" w:hAnsi="Calibri" w:cs="Calibri"/>
                <w:b/>
                <w:bCs/>
                <w:color w:val="000000" w:themeColor="text1"/>
              </w:rPr>
            </w:pPr>
            <w:r w:rsidRPr="07433F88">
              <w:rPr>
                <w:rFonts w:ascii="Calibri" w:hAnsi="Calibri" w:cs="Calibri"/>
                <w:b/>
                <w:bCs/>
                <w:color w:val="000000" w:themeColor="text1"/>
              </w:rPr>
              <w:t>Modifiche introdotte</w:t>
            </w:r>
          </w:p>
        </w:tc>
      </w:tr>
      <w:tr w:rsidRPr="004B0644" w:rsidR="005F59E1" w:rsidTr="52C5CEAB" w14:paraId="6687BB21" w14:textId="77777777">
        <w:trPr>
          <w:trHeight w:val="300"/>
        </w:trPr>
        <w:tc>
          <w:tcPr>
            <w:tcW w:w="3209" w:type="dxa"/>
          </w:tcPr>
          <w:p w:rsidRPr="004B0644" w:rsidR="005F59E1" w:rsidP="005F59E1" w:rsidRDefault="52C5CEAB" w14:paraId="5FAA8642" w14:textId="46F5407C">
            <w:pPr>
              <w:rPr>
                <w:rFonts w:ascii="Calibri" w:hAnsi="Calibri" w:cs="Calibri"/>
              </w:rPr>
            </w:pPr>
            <w:r w:rsidRPr="52C5CEAB">
              <w:rPr>
                <w:rFonts w:ascii="Calibri" w:hAnsi="Calibri" w:cs="Calibri"/>
              </w:rPr>
              <w:t>Versione 1.1</w:t>
            </w:r>
          </w:p>
        </w:tc>
        <w:tc>
          <w:tcPr>
            <w:tcW w:w="3209" w:type="dxa"/>
          </w:tcPr>
          <w:p w:rsidRPr="004B0644" w:rsidR="005F59E1" w:rsidP="005F59E1" w:rsidRDefault="52C5CEAB" w14:paraId="2BED7290" w14:textId="4BFAAE6A">
            <w:pPr>
              <w:rPr>
                <w:rFonts w:ascii="Calibri" w:hAnsi="Calibri" w:cs="Calibri"/>
              </w:rPr>
            </w:pPr>
            <w:r w:rsidRPr="52C5CEAB">
              <w:rPr>
                <w:rFonts w:ascii="Calibri" w:hAnsi="Calibri" w:cs="Calibri"/>
              </w:rPr>
              <w:t>13/02/2025</w:t>
            </w:r>
          </w:p>
        </w:tc>
        <w:tc>
          <w:tcPr>
            <w:tcW w:w="3210" w:type="dxa"/>
          </w:tcPr>
          <w:p w:rsidRPr="004B0644" w:rsidR="005F59E1" w:rsidP="00253B71" w:rsidRDefault="52C5CEAB" w14:paraId="4F50B6F5" w14:textId="7925AA6C">
            <w:pPr>
              <w:jc w:val="center"/>
              <w:rPr>
                <w:rFonts w:ascii="Calibri" w:hAnsi="Calibri" w:cs="Calibri"/>
              </w:rPr>
            </w:pPr>
            <w:r w:rsidRPr="52C5CEAB">
              <w:rPr>
                <w:rFonts w:ascii="Calibri" w:hAnsi="Calibri" w:cs="Calibri"/>
              </w:rPr>
              <w:t>Prima versione</w:t>
            </w:r>
          </w:p>
        </w:tc>
      </w:tr>
    </w:tbl>
    <w:p w:rsidR="00C10949" w:rsidRDefault="00C10949" w14:paraId="2A710A6A" w14:textId="2229E9EA">
      <w:pPr>
        <w:spacing w:after="160" w:line="259" w:lineRule="auto"/>
      </w:pPr>
    </w:p>
    <w:p w:rsidR="00C10949" w:rsidRDefault="00C10949" w14:paraId="3CFF7194" w14:textId="77777777">
      <w:pPr>
        <w:spacing w:after="160" w:line="259" w:lineRule="auto"/>
      </w:pPr>
      <w:r>
        <w:br w:type="page"/>
      </w:r>
    </w:p>
    <w:p w:rsidRPr="004B0644" w:rsidR="005F59E1" w:rsidP="00354686" w:rsidRDefault="52C5CEAB" w14:paraId="728FB645" w14:textId="1F614BC8">
      <w:pPr>
        <w:pStyle w:val="Heading1"/>
        <w:rPr>
          <w:rFonts w:ascii="Calibri" w:hAnsi="Calibri" w:cs="Calibri"/>
          <w:b/>
          <w:bCs/>
          <w:color w:val="0070C0"/>
          <w:sz w:val="32"/>
          <w:szCs w:val="32"/>
        </w:rPr>
      </w:pPr>
      <w:bookmarkStart w:name="_Toc190354094" w:id="1"/>
      <w:r w:rsidRPr="52C5CEAB">
        <w:rPr>
          <w:rFonts w:ascii="Calibri" w:hAnsi="Calibri" w:cs="Calibri"/>
          <w:b/>
          <w:bCs/>
          <w:color w:val="0070C0"/>
          <w:sz w:val="32"/>
          <w:szCs w:val="32"/>
        </w:rPr>
        <w:t>Acronimi</w:t>
      </w:r>
      <w:bookmarkEnd w:id="1"/>
    </w:p>
    <w:p w:rsidR="004065B1" w:rsidP="004065B1" w:rsidRDefault="004065B1" w14:paraId="24E9CDE9" w14:textId="77777777"/>
    <w:tbl>
      <w:tblPr>
        <w:tblStyle w:val="TableGrid"/>
        <w:tblW w:w="5000" w:type="pct"/>
        <w:jc w:val="center"/>
        <w:tblLook w:val="04A0" w:firstRow="1" w:lastRow="0" w:firstColumn="1" w:lastColumn="0" w:noHBand="0" w:noVBand="1"/>
      </w:tblPr>
      <w:tblGrid>
        <w:gridCol w:w="1980"/>
        <w:gridCol w:w="7648"/>
      </w:tblGrid>
      <w:tr w:rsidR="00F4588D" w:rsidTr="006940F4" w14:paraId="7FD85069" w14:textId="77777777">
        <w:trPr>
          <w:jc w:val="center"/>
        </w:trPr>
        <w:tc>
          <w:tcPr>
            <w:tcW w:w="1028" w:type="pct"/>
          </w:tcPr>
          <w:p w:rsidRPr="0065718D" w:rsidR="00F4588D" w:rsidP="00F4588D" w:rsidRDefault="00F4588D" w14:paraId="28605DDB" w14:textId="1DB27039">
            <w:pPr>
              <w:rPr>
                <w:rFonts w:ascii="Calibri" w:hAnsi="Calibri" w:cs="Calibri"/>
                <w:b/>
                <w:color w:val="0B769F" w:themeColor="accent4" w:themeShade="BF"/>
              </w:rPr>
            </w:pPr>
            <w:proofErr w:type="spellStart"/>
            <w:r w:rsidRPr="0065718D">
              <w:rPr>
                <w:rFonts w:ascii="Calibri" w:hAnsi="Calibri" w:cs="Calibri"/>
                <w:b/>
                <w:color w:val="0B769F" w:themeColor="accent4" w:themeShade="BF"/>
              </w:rPr>
              <w:t>AdA</w:t>
            </w:r>
            <w:proofErr w:type="spellEnd"/>
          </w:p>
        </w:tc>
        <w:tc>
          <w:tcPr>
            <w:tcW w:w="3972" w:type="pct"/>
          </w:tcPr>
          <w:p w:rsidRPr="0065718D" w:rsidR="00F4588D" w:rsidP="00F4588D" w:rsidRDefault="00F4588D" w14:paraId="13FD6484" w14:textId="6188052F">
            <w:pPr>
              <w:rPr>
                <w:rFonts w:ascii="Calibri" w:hAnsi="Calibri" w:cs="Calibri"/>
              </w:rPr>
            </w:pPr>
            <w:r w:rsidRPr="0065718D">
              <w:rPr>
                <w:rFonts w:ascii="Calibri" w:hAnsi="Calibri" w:cs="Calibri"/>
              </w:rPr>
              <w:t xml:space="preserve">Autorità di Audit </w:t>
            </w:r>
          </w:p>
        </w:tc>
      </w:tr>
      <w:tr w:rsidR="00F4588D" w:rsidTr="006940F4" w14:paraId="0BDFD02F" w14:textId="77777777">
        <w:trPr>
          <w:jc w:val="center"/>
        </w:trPr>
        <w:tc>
          <w:tcPr>
            <w:tcW w:w="1028" w:type="pct"/>
          </w:tcPr>
          <w:p w:rsidRPr="0065718D" w:rsidR="00F4588D" w:rsidP="00F4588D" w:rsidRDefault="00F4588D" w14:paraId="3EA5E59E" w14:textId="3A3BCB0B">
            <w:pPr>
              <w:rPr>
                <w:rFonts w:ascii="Calibri" w:hAnsi="Calibri" w:cs="Calibri"/>
                <w:b/>
                <w:color w:val="0B769F" w:themeColor="accent4" w:themeShade="BF"/>
              </w:rPr>
            </w:pPr>
            <w:r w:rsidRPr="0065718D">
              <w:rPr>
                <w:rFonts w:ascii="Calibri" w:hAnsi="Calibri" w:cs="Calibri"/>
                <w:b/>
                <w:color w:val="0B769F" w:themeColor="accent4" w:themeShade="BF"/>
              </w:rPr>
              <w:t>AdG</w:t>
            </w:r>
          </w:p>
        </w:tc>
        <w:tc>
          <w:tcPr>
            <w:tcW w:w="3972" w:type="pct"/>
          </w:tcPr>
          <w:p w:rsidRPr="0065718D" w:rsidR="00F4588D" w:rsidP="00F4588D" w:rsidRDefault="00F4588D" w14:paraId="7D66A128" w14:textId="22E93F36">
            <w:pPr>
              <w:rPr>
                <w:rFonts w:ascii="Calibri" w:hAnsi="Calibri" w:cs="Calibri"/>
              </w:rPr>
            </w:pPr>
            <w:r w:rsidRPr="0065718D">
              <w:rPr>
                <w:rFonts w:ascii="Calibri" w:hAnsi="Calibri" w:cs="Calibri"/>
              </w:rPr>
              <w:t xml:space="preserve">Autorità di Gestione </w:t>
            </w:r>
          </w:p>
        </w:tc>
      </w:tr>
      <w:tr w:rsidR="00F4588D" w:rsidTr="006940F4" w14:paraId="33FA0824" w14:textId="77777777">
        <w:trPr>
          <w:jc w:val="center"/>
        </w:trPr>
        <w:tc>
          <w:tcPr>
            <w:tcW w:w="1028" w:type="pct"/>
          </w:tcPr>
          <w:p w:rsidRPr="0065718D" w:rsidR="00F4588D" w:rsidP="00F4588D" w:rsidRDefault="00F4588D" w14:paraId="167AF9A2" w14:textId="692AC8C4">
            <w:pPr>
              <w:rPr>
                <w:rFonts w:ascii="Calibri" w:hAnsi="Calibri" w:cs="Calibri"/>
                <w:b/>
                <w:color w:val="0B769F" w:themeColor="accent4" w:themeShade="BF"/>
              </w:rPr>
            </w:pPr>
            <w:r w:rsidRPr="0065718D">
              <w:rPr>
                <w:rFonts w:ascii="Calibri" w:hAnsi="Calibri" w:cs="Calibri"/>
                <w:b/>
                <w:color w:val="0B769F" w:themeColor="accent4" w:themeShade="BF"/>
              </w:rPr>
              <w:t>AC</w:t>
            </w:r>
          </w:p>
        </w:tc>
        <w:tc>
          <w:tcPr>
            <w:tcW w:w="3972" w:type="pct"/>
          </w:tcPr>
          <w:p w:rsidRPr="0065718D" w:rsidR="00F4588D" w:rsidP="00F4588D" w:rsidRDefault="00F4588D" w14:paraId="06C772B4" w14:textId="2964F25A">
            <w:pPr>
              <w:rPr>
                <w:rFonts w:ascii="Calibri" w:hAnsi="Calibri" w:cs="Calibri"/>
              </w:rPr>
            </w:pPr>
            <w:r w:rsidRPr="0065718D">
              <w:rPr>
                <w:rFonts w:ascii="Calibri" w:hAnsi="Calibri" w:cs="Calibri"/>
              </w:rPr>
              <w:t xml:space="preserve">Autorità Contabile </w:t>
            </w:r>
          </w:p>
        </w:tc>
      </w:tr>
      <w:tr w:rsidR="00F4588D" w:rsidTr="006940F4" w14:paraId="3FBBD124" w14:textId="77777777">
        <w:trPr>
          <w:jc w:val="center"/>
        </w:trPr>
        <w:tc>
          <w:tcPr>
            <w:tcW w:w="1028" w:type="pct"/>
          </w:tcPr>
          <w:p w:rsidRPr="0065718D" w:rsidR="00F4588D" w:rsidP="00F4588D" w:rsidRDefault="00F4588D" w14:paraId="05B6D9F6" w14:textId="20B236CC">
            <w:pPr>
              <w:rPr>
                <w:rFonts w:ascii="Calibri" w:hAnsi="Calibri" w:cs="Calibri"/>
                <w:b/>
                <w:color w:val="0B769F" w:themeColor="accent4" w:themeShade="BF"/>
              </w:rPr>
            </w:pPr>
            <w:r w:rsidRPr="0065718D">
              <w:rPr>
                <w:rFonts w:ascii="Calibri" w:hAnsi="Calibri" w:cs="Calibri"/>
                <w:b/>
                <w:color w:val="0B769F" w:themeColor="accent4" w:themeShade="BF"/>
              </w:rPr>
              <w:t>ANAC</w:t>
            </w:r>
          </w:p>
        </w:tc>
        <w:tc>
          <w:tcPr>
            <w:tcW w:w="3972" w:type="pct"/>
          </w:tcPr>
          <w:p w:rsidRPr="0065718D" w:rsidR="00F4588D" w:rsidP="00F4588D" w:rsidRDefault="00F4588D" w14:paraId="52D4586E" w14:textId="6FECEA40">
            <w:pPr>
              <w:rPr>
                <w:rFonts w:ascii="Calibri" w:hAnsi="Calibri" w:cs="Calibri"/>
              </w:rPr>
            </w:pPr>
            <w:r w:rsidRPr="0065718D">
              <w:rPr>
                <w:rFonts w:ascii="Calibri" w:hAnsi="Calibri" w:cs="Calibri"/>
              </w:rPr>
              <w:t xml:space="preserve">Autorità Nazionale Anticorruzione </w:t>
            </w:r>
          </w:p>
        </w:tc>
      </w:tr>
      <w:tr w:rsidR="00F4588D" w:rsidTr="006940F4" w14:paraId="467D4C77" w14:textId="77777777">
        <w:trPr>
          <w:jc w:val="center"/>
        </w:trPr>
        <w:tc>
          <w:tcPr>
            <w:tcW w:w="1028" w:type="pct"/>
          </w:tcPr>
          <w:p w:rsidRPr="0065718D" w:rsidR="00F4588D" w:rsidP="00F4588D" w:rsidRDefault="00F4588D" w14:paraId="793EC4FD" w14:textId="6EE397A7">
            <w:pPr>
              <w:rPr>
                <w:rFonts w:ascii="Calibri" w:hAnsi="Calibri" w:cs="Calibri"/>
                <w:b/>
                <w:color w:val="0B769F" w:themeColor="accent4" w:themeShade="BF"/>
              </w:rPr>
            </w:pPr>
            <w:r w:rsidRPr="0065718D">
              <w:rPr>
                <w:rFonts w:ascii="Calibri" w:hAnsi="Calibri" w:cs="Calibri"/>
                <w:b/>
                <w:color w:val="0B769F" w:themeColor="accent4" w:themeShade="BF"/>
              </w:rPr>
              <w:t>AT</w:t>
            </w:r>
          </w:p>
        </w:tc>
        <w:tc>
          <w:tcPr>
            <w:tcW w:w="3972" w:type="pct"/>
          </w:tcPr>
          <w:p w:rsidRPr="0065718D" w:rsidR="00F4588D" w:rsidP="00F4588D" w:rsidRDefault="00F4588D" w14:paraId="781815B8" w14:textId="2C3DCBFE">
            <w:pPr>
              <w:rPr>
                <w:rFonts w:ascii="Calibri" w:hAnsi="Calibri" w:cs="Calibri"/>
              </w:rPr>
            </w:pPr>
            <w:r w:rsidRPr="0065718D">
              <w:rPr>
                <w:rFonts w:ascii="Calibri" w:hAnsi="Calibri" w:cs="Calibri"/>
              </w:rPr>
              <w:t>Assistenza Tecnica</w:t>
            </w:r>
          </w:p>
        </w:tc>
      </w:tr>
      <w:tr w:rsidR="00F4588D" w:rsidTr="006940F4" w14:paraId="4795B7AB" w14:textId="77777777">
        <w:trPr>
          <w:jc w:val="center"/>
        </w:trPr>
        <w:tc>
          <w:tcPr>
            <w:tcW w:w="1028" w:type="pct"/>
          </w:tcPr>
          <w:p w:rsidRPr="0065718D" w:rsidR="00F4588D" w:rsidP="00F4588D" w:rsidRDefault="00F4588D" w14:paraId="75771023" w14:textId="59C79F85">
            <w:pPr>
              <w:rPr>
                <w:rFonts w:ascii="Calibri" w:hAnsi="Calibri" w:cs="Calibri"/>
                <w:b/>
                <w:color w:val="0B769F" w:themeColor="accent4" w:themeShade="BF"/>
              </w:rPr>
            </w:pPr>
            <w:proofErr w:type="spellStart"/>
            <w:r w:rsidRPr="0065718D">
              <w:rPr>
                <w:rFonts w:ascii="Calibri" w:hAnsi="Calibri" w:cs="Calibri"/>
                <w:b/>
                <w:color w:val="0B769F" w:themeColor="accent4" w:themeShade="BF"/>
              </w:rPr>
              <w:t>CdS</w:t>
            </w:r>
            <w:proofErr w:type="spellEnd"/>
          </w:p>
        </w:tc>
        <w:tc>
          <w:tcPr>
            <w:tcW w:w="3972" w:type="pct"/>
          </w:tcPr>
          <w:p w:rsidRPr="0065718D" w:rsidR="00F4588D" w:rsidP="00F4588D" w:rsidRDefault="00F4588D" w14:paraId="73B303E6" w14:textId="5A3F9FC2">
            <w:pPr>
              <w:rPr>
                <w:rFonts w:ascii="Calibri" w:hAnsi="Calibri" w:cs="Calibri"/>
              </w:rPr>
            </w:pPr>
            <w:r w:rsidRPr="0065718D">
              <w:rPr>
                <w:rFonts w:ascii="Calibri" w:hAnsi="Calibri" w:cs="Calibri"/>
              </w:rPr>
              <w:t xml:space="preserve">Comitato di Sorveglianza </w:t>
            </w:r>
          </w:p>
        </w:tc>
      </w:tr>
      <w:tr w:rsidR="00F4588D" w:rsidTr="006940F4" w14:paraId="57DA4944" w14:textId="77777777">
        <w:trPr>
          <w:jc w:val="center"/>
        </w:trPr>
        <w:tc>
          <w:tcPr>
            <w:tcW w:w="1028" w:type="pct"/>
          </w:tcPr>
          <w:p w:rsidRPr="0065718D" w:rsidR="00F4588D" w:rsidP="00F4588D" w:rsidRDefault="00F4588D" w14:paraId="1B4EC834" w14:textId="55E0CBA3">
            <w:pPr>
              <w:rPr>
                <w:rFonts w:ascii="Calibri" w:hAnsi="Calibri" w:cs="Calibri"/>
                <w:b/>
                <w:color w:val="0B769F" w:themeColor="accent4" w:themeShade="BF"/>
              </w:rPr>
            </w:pPr>
            <w:r w:rsidRPr="0065718D">
              <w:rPr>
                <w:rFonts w:ascii="Calibri" w:hAnsi="Calibri" w:cs="Calibri"/>
                <w:b/>
                <w:color w:val="0B769F" w:themeColor="accent4" w:themeShade="BF"/>
              </w:rPr>
              <w:t>COLAF</w:t>
            </w:r>
          </w:p>
        </w:tc>
        <w:tc>
          <w:tcPr>
            <w:tcW w:w="3972" w:type="pct"/>
          </w:tcPr>
          <w:p w:rsidRPr="0065718D" w:rsidR="00F4588D" w:rsidP="00F4588D" w:rsidRDefault="00F4588D" w14:paraId="38633D85" w14:textId="2BF11737">
            <w:pPr>
              <w:rPr>
                <w:rFonts w:ascii="Calibri" w:hAnsi="Calibri" w:cs="Calibri"/>
              </w:rPr>
            </w:pPr>
            <w:r w:rsidRPr="0065718D">
              <w:rPr>
                <w:rFonts w:ascii="Calibri" w:hAnsi="Calibri" w:cs="Calibri"/>
              </w:rPr>
              <w:t>Comitato per la Lotta contro le Frodi Comunitarie</w:t>
            </w:r>
          </w:p>
        </w:tc>
      </w:tr>
      <w:tr w:rsidR="00F4588D" w:rsidTr="006940F4" w14:paraId="331D214B" w14:textId="77777777">
        <w:trPr>
          <w:jc w:val="center"/>
        </w:trPr>
        <w:tc>
          <w:tcPr>
            <w:tcW w:w="1028" w:type="pct"/>
            <w:vAlign w:val="center"/>
          </w:tcPr>
          <w:p w:rsidRPr="0065718D" w:rsidR="00F4588D" w:rsidP="00F4588D" w:rsidRDefault="00F4588D" w14:paraId="589A6875" w14:textId="5B145B24">
            <w:pPr>
              <w:rPr>
                <w:rFonts w:ascii="Calibri" w:hAnsi="Calibri" w:cs="Calibri"/>
                <w:b/>
                <w:color w:val="0B769F" w:themeColor="accent4" w:themeShade="BF"/>
              </w:rPr>
            </w:pPr>
            <w:r w:rsidRPr="0065718D">
              <w:rPr>
                <w:rFonts w:ascii="Calibri" w:hAnsi="Calibri" w:cs="Calibri"/>
                <w:b/>
                <w:color w:val="0B769F" w:themeColor="accent4" w:themeShade="BF"/>
              </w:rPr>
              <w:t>EGESIF</w:t>
            </w:r>
          </w:p>
        </w:tc>
        <w:tc>
          <w:tcPr>
            <w:tcW w:w="3972" w:type="pct"/>
          </w:tcPr>
          <w:p w:rsidRPr="002D3177" w:rsidR="00F4588D" w:rsidP="002D3177" w:rsidRDefault="00F4588D" w14:paraId="36F95CD4" w14:textId="77777777">
            <w:pPr>
              <w:pStyle w:val="TOC2"/>
            </w:pPr>
            <w:r w:rsidRPr="002D3177">
              <w:t>Expert Group on European Structural and Investment Funds</w:t>
            </w:r>
          </w:p>
          <w:p w:rsidRPr="0065718D" w:rsidR="00F4588D" w:rsidP="00F4588D" w:rsidRDefault="00F4588D" w14:paraId="36A6441F" w14:textId="176B084F">
            <w:pPr>
              <w:rPr>
                <w:rFonts w:ascii="Calibri" w:hAnsi="Calibri" w:cs="Calibri"/>
              </w:rPr>
            </w:pPr>
            <w:r w:rsidRPr="0065718D">
              <w:rPr>
                <w:rFonts w:ascii="Calibri" w:hAnsi="Calibri" w:cs="Calibri"/>
              </w:rPr>
              <w:t>Gruppo di esperti della Commissione Europea sui Fondi SIE</w:t>
            </w:r>
          </w:p>
        </w:tc>
      </w:tr>
      <w:tr w:rsidR="00F4588D" w:rsidTr="006940F4" w14:paraId="14046F3A" w14:textId="77777777">
        <w:trPr>
          <w:jc w:val="center"/>
        </w:trPr>
        <w:tc>
          <w:tcPr>
            <w:tcW w:w="1028" w:type="pct"/>
          </w:tcPr>
          <w:p w:rsidRPr="0065718D" w:rsidR="00F4588D" w:rsidP="00F4588D" w:rsidRDefault="00F4588D" w14:paraId="07DADA1B" w14:textId="092BBEE5">
            <w:pPr>
              <w:rPr>
                <w:rFonts w:ascii="Calibri" w:hAnsi="Calibri" w:cs="Calibri"/>
                <w:b/>
                <w:color w:val="0B769F" w:themeColor="accent4" w:themeShade="BF"/>
              </w:rPr>
            </w:pPr>
            <w:r w:rsidRPr="0065718D">
              <w:rPr>
                <w:rFonts w:ascii="Calibri" w:hAnsi="Calibri" w:cs="Calibri"/>
                <w:b/>
                <w:color w:val="0B769F" w:themeColor="accent4" w:themeShade="BF"/>
              </w:rPr>
              <w:t>FESR</w:t>
            </w:r>
          </w:p>
        </w:tc>
        <w:tc>
          <w:tcPr>
            <w:tcW w:w="3972" w:type="pct"/>
          </w:tcPr>
          <w:p w:rsidRPr="0065718D" w:rsidR="00F4588D" w:rsidP="00F4588D" w:rsidRDefault="00F4588D" w14:paraId="71EDED63" w14:textId="6E47065B">
            <w:pPr>
              <w:rPr>
                <w:rFonts w:ascii="Calibri" w:hAnsi="Calibri" w:cs="Calibri"/>
              </w:rPr>
            </w:pPr>
            <w:r w:rsidRPr="0065718D">
              <w:rPr>
                <w:rFonts w:ascii="Calibri" w:hAnsi="Calibri" w:cs="Calibri"/>
              </w:rPr>
              <w:t xml:space="preserve">Fondo Europeo di Sviluppo Regionale </w:t>
            </w:r>
          </w:p>
        </w:tc>
      </w:tr>
      <w:tr w:rsidR="00F4588D" w:rsidTr="006940F4" w14:paraId="20762839" w14:textId="77777777">
        <w:trPr>
          <w:jc w:val="center"/>
        </w:trPr>
        <w:tc>
          <w:tcPr>
            <w:tcW w:w="1028" w:type="pct"/>
          </w:tcPr>
          <w:p w:rsidRPr="0065718D" w:rsidR="00F4588D" w:rsidP="00F4588D" w:rsidRDefault="00F4588D" w14:paraId="4E2ADA7F" w14:textId="6FF1D6D0">
            <w:pPr>
              <w:rPr>
                <w:rFonts w:ascii="Calibri" w:hAnsi="Calibri" w:cs="Calibri"/>
                <w:b/>
                <w:color w:val="0B769F" w:themeColor="accent4" w:themeShade="BF"/>
              </w:rPr>
            </w:pPr>
            <w:r w:rsidRPr="0065718D">
              <w:rPr>
                <w:rFonts w:ascii="Calibri" w:hAnsi="Calibri" w:cs="Calibri"/>
                <w:b/>
                <w:color w:val="0B769F" w:themeColor="accent4" w:themeShade="BF"/>
              </w:rPr>
              <w:t>IGRUE</w:t>
            </w:r>
          </w:p>
        </w:tc>
        <w:tc>
          <w:tcPr>
            <w:tcW w:w="3972" w:type="pct"/>
          </w:tcPr>
          <w:p w:rsidRPr="0065718D" w:rsidR="00F4588D" w:rsidP="00F4588D" w:rsidRDefault="00F4588D" w14:paraId="5D0D1D1E" w14:textId="2BCAEE0A">
            <w:pPr>
              <w:rPr>
                <w:rFonts w:ascii="Calibri" w:hAnsi="Calibri" w:cs="Calibri"/>
              </w:rPr>
            </w:pPr>
            <w:r w:rsidRPr="0065718D">
              <w:rPr>
                <w:rFonts w:ascii="Calibri" w:hAnsi="Calibri" w:cs="Calibri"/>
              </w:rPr>
              <w:t>Ispettorato Generale per i Rapporti finanziari con l'Unione Europea - MEF</w:t>
            </w:r>
          </w:p>
        </w:tc>
      </w:tr>
      <w:tr w:rsidR="00F4588D" w:rsidTr="006940F4" w14:paraId="0CA7B0AF" w14:textId="77777777">
        <w:trPr>
          <w:jc w:val="center"/>
        </w:trPr>
        <w:tc>
          <w:tcPr>
            <w:tcW w:w="1028" w:type="pct"/>
          </w:tcPr>
          <w:p w:rsidRPr="0065718D" w:rsidR="00F4588D" w:rsidP="00F4588D" w:rsidRDefault="00F4588D" w14:paraId="31DF3520" w14:textId="1831E0F3">
            <w:pPr>
              <w:rPr>
                <w:rFonts w:ascii="Calibri" w:hAnsi="Calibri" w:cs="Calibri"/>
                <w:b/>
                <w:color w:val="0B769F" w:themeColor="accent4" w:themeShade="BF"/>
              </w:rPr>
            </w:pPr>
            <w:proofErr w:type="spellStart"/>
            <w:r w:rsidRPr="0065718D">
              <w:rPr>
                <w:rFonts w:ascii="Calibri" w:hAnsi="Calibri" w:cs="Calibri"/>
                <w:b/>
                <w:color w:val="0B769F" w:themeColor="accent4" w:themeShade="BF"/>
              </w:rPr>
              <w:t>MiC</w:t>
            </w:r>
            <w:proofErr w:type="spellEnd"/>
          </w:p>
        </w:tc>
        <w:tc>
          <w:tcPr>
            <w:tcW w:w="3972" w:type="pct"/>
          </w:tcPr>
          <w:p w:rsidRPr="0065718D" w:rsidR="00F4588D" w:rsidP="00F4588D" w:rsidRDefault="00F4588D" w14:paraId="5B05E544" w14:textId="4C8F86AB">
            <w:pPr>
              <w:rPr>
                <w:rFonts w:ascii="Calibri" w:hAnsi="Calibri" w:cs="Calibri"/>
              </w:rPr>
            </w:pPr>
            <w:r w:rsidRPr="0065718D">
              <w:rPr>
                <w:rFonts w:ascii="Calibri" w:hAnsi="Calibri" w:cs="Calibri"/>
              </w:rPr>
              <w:t xml:space="preserve">Ministero della Cultura </w:t>
            </w:r>
          </w:p>
        </w:tc>
      </w:tr>
      <w:tr w:rsidR="00F4588D" w:rsidTr="006940F4" w14:paraId="1F10607E" w14:textId="77777777">
        <w:trPr>
          <w:jc w:val="center"/>
        </w:trPr>
        <w:tc>
          <w:tcPr>
            <w:tcW w:w="1028" w:type="pct"/>
          </w:tcPr>
          <w:p w:rsidRPr="0065718D" w:rsidR="00F4588D" w:rsidP="00F4588D" w:rsidRDefault="00F4588D" w14:paraId="4044368C" w14:textId="525271BA">
            <w:pPr>
              <w:rPr>
                <w:rFonts w:ascii="Calibri" w:hAnsi="Calibri" w:cs="Calibri"/>
                <w:b/>
                <w:color w:val="0B769F" w:themeColor="accent4" w:themeShade="BF"/>
              </w:rPr>
            </w:pPr>
            <w:r w:rsidRPr="0065718D">
              <w:rPr>
                <w:rFonts w:ascii="Calibri" w:hAnsi="Calibri" w:cs="Calibri"/>
                <w:b/>
                <w:color w:val="0B769F" w:themeColor="accent4" w:themeShade="BF"/>
              </w:rPr>
              <w:t xml:space="preserve">NCA </w:t>
            </w:r>
          </w:p>
        </w:tc>
        <w:tc>
          <w:tcPr>
            <w:tcW w:w="3972" w:type="pct"/>
          </w:tcPr>
          <w:p w:rsidRPr="0065718D" w:rsidR="00F4588D" w:rsidP="00F4588D" w:rsidRDefault="00F4588D" w14:paraId="13ED727A" w14:textId="3FE1D000">
            <w:pPr>
              <w:rPr>
                <w:rFonts w:ascii="Calibri" w:hAnsi="Calibri" w:cs="Calibri"/>
              </w:rPr>
            </w:pPr>
            <w:r w:rsidRPr="0065718D">
              <w:rPr>
                <w:rFonts w:ascii="Calibri" w:hAnsi="Calibri" w:cs="Calibri"/>
              </w:rPr>
              <w:t>Nuovo codice appalti ex d. lgs. 36/2023</w:t>
            </w:r>
          </w:p>
        </w:tc>
      </w:tr>
      <w:tr w:rsidR="00F4588D" w:rsidTr="006940F4" w14:paraId="1153CACD" w14:textId="77777777">
        <w:trPr>
          <w:jc w:val="center"/>
        </w:trPr>
        <w:tc>
          <w:tcPr>
            <w:tcW w:w="1028" w:type="pct"/>
          </w:tcPr>
          <w:p w:rsidRPr="0065718D" w:rsidR="00F4588D" w:rsidP="00F4588D" w:rsidRDefault="00F4588D" w14:paraId="0695343D" w14:textId="5697D7D6">
            <w:pPr>
              <w:rPr>
                <w:rFonts w:ascii="Calibri" w:hAnsi="Calibri" w:cs="Calibri"/>
                <w:b/>
                <w:color w:val="0B769F" w:themeColor="accent4" w:themeShade="BF"/>
              </w:rPr>
            </w:pPr>
            <w:r w:rsidRPr="0065718D">
              <w:rPr>
                <w:rFonts w:ascii="Calibri" w:hAnsi="Calibri" w:cs="Calibri"/>
                <w:b/>
                <w:color w:val="0B769F" w:themeColor="accent4" w:themeShade="BF"/>
              </w:rPr>
              <w:t>OSC</w:t>
            </w:r>
          </w:p>
        </w:tc>
        <w:tc>
          <w:tcPr>
            <w:tcW w:w="3972" w:type="pct"/>
          </w:tcPr>
          <w:p w:rsidRPr="0065718D" w:rsidR="00F4588D" w:rsidP="00F4588D" w:rsidRDefault="00F4588D" w14:paraId="2501CC46" w14:textId="1A4023E1">
            <w:pPr>
              <w:rPr>
                <w:rFonts w:ascii="Calibri" w:hAnsi="Calibri" w:cs="Calibri"/>
              </w:rPr>
            </w:pPr>
            <w:r w:rsidRPr="0065718D">
              <w:rPr>
                <w:rFonts w:ascii="Calibri" w:hAnsi="Calibri" w:cs="Calibri"/>
              </w:rPr>
              <w:t xml:space="preserve">Opzione di semplificazione dei costi </w:t>
            </w:r>
          </w:p>
        </w:tc>
      </w:tr>
      <w:tr w:rsidR="00F4588D" w:rsidTr="006940F4" w14:paraId="758C9438" w14:textId="77777777">
        <w:trPr>
          <w:jc w:val="center"/>
        </w:trPr>
        <w:tc>
          <w:tcPr>
            <w:tcW w:w="1028" w:type="pct"/>
            <w:vAlign w:val="center"/>
          </w:tcPr>
          <w:p w:rsidRPr="0065718D" w:rsidR="00F4588D" w:rsidP="00F4588D" w:rsidRDefault="00F4588D" w14:paraId="11F0893D" w14:textId="2D1F1E82">
            <w:pPr>
              <w:rPr>
                <w:rFonts w:ascii="Calibri" w:hAnsi="Calibri" w:cs="Calibri"/>
                <w:b/>
                <w:color w:val="0B769F" w:themeColor="accent4" w:themeShade="BF"/>
              </w:rPr>
            </w:pPr>
            <w:r w:rsidRPr="0065718D">
              <w:rPr>
                <w:rFonts w:ascii="Calibri" w:hAnsi="Calibri" w:cs="Calibri"/>
                <w:b/>
                <w:color w:val="0B769F" w:themeColor="accent4" w:themeShade="BF"/>
              </w:rPr>
              <w:t>OLAF</w:t>
            </w:r>
          </w:p>
        </w:tc>
        <w:tc>
          <w:tcPr>
            <w:tcW w:w="3972" w:type="pct"/>
          </w:tcPr>
          <w:p w:rsidRPr="005B5FAF" w:rsidR="00F4588D" w:rsidP="002D3177" w:rsidRDefault="00F4588D" w14:paraId="53CDA314" w14:textId="463BD9BD">
            <w:pPr>
              <w:pStyle w:val="TOC2"/>
              <w:rPr>
                <w:lang w:val="it-IT"/>
              </w:rPr>
            </w:pPr>
            <w:proofErr w:type="spellStart"/>
            <w:r w:rsidRPr="005B5FAF">
              <w:rPr>
                <w:lang w:val="it-IT"/>
              </w:rPr>
              <w:t>European</w:t>
            </w:r>
            <w:proofErr w:type="spellEnd"/>
            <w:r w:rsidRPr="005B5FAF">
              <w:rPr>
                <w:lang w:val="it-IT"/>
              </w:rPr>
              <w:t xml:space="preserve"> Commission – </w:t>
            </w:r>
            <w:proofErr w:type="spellStart"/>
            <w:r w:rsidRPr="005B5FAF">
              <w:rPr>
                <w:lang w:val="it-IT"/>
              </w:rPr>
              <w:t>European</w:t>
            </w:r>
            <w:proofErr w:type="spellEnd"/>
            <w:r w:rsidRPr="005B5FAF">
              <w:rPr>
                <w:lang w:val="it-IT"/>
              </w:rPr>
              <w:t xml:space="preserve"> Anti – </w:t>
            </w:r>
            <w:proofErr w:type="spellStart"/>
            <w:r w:rsidRPr="005B5FAF">
              <w:rPr>
                <w:lang w:val="it-IT"/>
              </w:rPr>
              <w:t>Fraud</w:t>
            </w:r>
            <w:proofErr w:type="spellEnd"/>
            <w:r w:rsidRPr="005B5FAF">
              <w:rPr>
                <w:lang w:val="it-IT"/>
              </w:rPr>
              <w:t xml:space="preserve"> Office</w:t>
            </w:r>
            <w:r w:rsidRPr="005B5FAF" w:rsidR="007C2A92">
              <w:rPr>
                <w:lang w:val="it-IT"/>
              </w:rPr>
              <w:t xml:space="preserve"> - </w:t>
            </w:r>
            <w:r w:rsidRPr="005B5FAF">
              <w:rPr>
                <w:lang w:val="it-IT"/>
              </w:rPr>
              <w:t>Commissione Europea – Ufficio Europeo per la lotta antifrode</w:t>
            </w:r>
          </w:p>
        </w:tc>
      </w:tr>
      <w:tr w:rsidR="00F4588D" w:rsidTr="006940F4" w14:paraId="59E8E25C" w14:textId="77777777">
        <w:trPr>
          <w:jc w:val="center"/>
        </w:trPr>
        <w:tc>
          <w:tcPr>
            <w:tcW w:w="1028" w:type="pct"/>
          </w:tcPr>
          <w:p w:rsidRPr="0065718D" w:rsidR="00F4588D" w:rsidP="00F4588D" w:rsidRDefault="00F4588D" w14:paraId="0DE2085B" w14:textId="5640B89D">
            <w:pPr>
              <w:rPr>
                <w:rFonts w:ascii="Calibri" w:hAnsi="Calibri" w:cs="Calibri"/>
                <w:b/>
                <w:color w:val="0B769F" w:themeColor="accent4" w:themeShade="BF"/>
              </w:rPr>
            </w:pPr>
            <w:r w:rsidRPr="0065718D">
              <w:rPr>
                <w:rFonts w:ascii="Calibri" w:hAnsi="Calibri" w:cs="Calibri"/>
                <w:b/>
                <w:color w:val="0B769F" w:themeColor="accent4" w:themeShade="BF"/>
              </w:rPr>
              <w:t>PA</w:t>
            </w:r>
          </w:p>
        </w:tc>
        <w:tc>
          <w:tcPr>
            <w:tcW w:w="3972" w:type="pct"/>
          </w:tcPr>
          <w:p w:rsidRPr="0065718D" w:rsidR="00F4588D" w:rsidP="00F4588D" w:rsidRDefault="00F4588D" w14:paraId="336740C9" w14:textId="0BF74D09">
            <w:pPr>
              <w:rPr>
                <w:rFonts w:ascii="Calibri" w:hAnsi="Calibri" w:cs="Calibri"/>
              </w:rPr>
            </w:pPr>
            <w:r w:rsidRPr="0065718D">
              <w:rPr>
                <w:rFonts w:ascii="Calibri" w:hAnsi="Calibri" w:cs="Calibri"/>
              </w:rPr>
              <w:t>Pubblica Amministrazione</w:t>
            </w:r>
          </w:p>
        </w:tc>
      </w:tr>
      <w:tr w:rsidR="00F4588D" w:rsidTr="006940F4" w14:paraId="3F9638D8" w14:textId="77777777">
        <w:trPr>
          <w:jc w:val="center"/>
        </w:trPr>
        <w:tc>
          <w:tcPr>
            <w:tcW w:w="1028" w:type="pct"/>
          </w:tcPr>
          <w:p w:rsidRPr="0065718D" w:rsidR="00F4588D" w:rsidP="00F4588D" w:rsidRDefault="00F4588D" w14:paraId="1AB74A16" w14:textId="010F8586">
            <w:pPr>
              <w:rPr>
                <w:rFonts w:ascii="Calibri" w:hAnsi="Calibri" w:cs="Calibri"/>
                <w:b/>
                <w:color w:val="0B769F" w:themeColor="accent4" w:themeShade="BF"/>
              </w:rPr>
            </w:pPr>
            <w:r w:rsidRPr="0065718D">
              <w:rPr>
                <w:rFonts w:ascii="Calibri" w:hAnsi="Calibri" w:cs="Calibri"/>
                <w:b/>
                <w:color w:val="0B769F" w:themeColor="accent4" w:themeShade="BF"/>
              </w:rPr>
              <w:t>PN</w:t>
            </w:r>
          </w:p>
        </w:tc>
        <w:tc>
          <w:tcPr>
            <w:tcW w:w="3972" w:type="pct"/>
          </w:tcPr>
          <w:p w:rsidRPr="0065718D" w:rsidR="00F4588D" w:rsidP="00F4588D" w:rsidRDefault="00F4588D" w14:paraId="04A1E990" w14:textId="4B820AFE">
            <w:pPr>
              <w:rPr>
                <w:rFonts w:ascii="Calibri" w:hAnsi="Calibri" w:cs="Calibri"/>
              </w:rPr>
            </w:pPr>
            <w:r w:rsidRPr="0065718D">
              <w:rPr>
                <w:rFonts w:ascii="Calibri" w:hAnsi="Calibri" w:cs="Calibri"/>
              </w:rPr>
              <w:t>Programma Nazionale</w:t>
            </w:r>
          </w:p>
        </w:tc>
      </w:tr>
      <w:tr w:rsidR="00591EA1" w:rsidTr="006940F4" w14:paraId="22BB1204" w14:textId="77777777">
        <w:trPr>
          <w:jc w:val="center"/>
        </w:trPr>
        <w:tc>
          <w:tcPr>
            <w:tcW w:w="1028" w:type="pct"/>
          </w:tcPr>
          <w:p w:rsidRPr="0065718D" w:rsidR="00591EA1" w:rsidP="00F4588D" w:rsidRDefault="00591EA1" w14:paraId="23B08085" w14:textId="6CF0C3C9">
            <w:pPr>
              <w:rPr>
                <w:rFonts w:ascii="Calibri" w:hAnsi="Calibri" w:cs="Calibri"/>
                <w:b/>
                <w:color w:val="0B769F" w:themeColor="accent4" w:themeShade="BF"/>
              </w:rPr>
            </w:pPr>
            <w:proofErr w:type="spellStart"/>
            <w:r>
              <w:rPr>
                <w:rFonts w:ascii="Calibri" w:hAnsi="Calibri" w:cs="Calibri"/>
                <w:b/>
                <w:color w:val="0B769F" w:themeColor="accent4" w:themeShade="BF"/>
              </w:rPr>
              <w:t>PR</w:t>
            </w:r>
            <w:r w:rsidR="00B8078F">
              <w:rPr>
                <w:rFonts w:ascii="Calibri" w:hAnsi="Calibri" w:cs="Calibri"/>
                <w:b/>
                <w:color w:val="0B769F" w:themeColor="accent4" w:themeShade="BF"/>
              </w:rPr>
              <w:t>ig</w:t>
            </w:r>
            <w:r>
              <w:rPr>
                <w:rFonts w:ascii="Calibri" w:hAnsi="Calibri" w:cs="Calibri"/>
                <w:b/>
                <w:color w:val="0B769F" w:themeColor="accent4" w:themeShade="BF"/>
              </w:rPr>
              <w:t>A</w:t>
            </w:r>
            <w:proofErr w:type="spellEnd"/>
          </w:p>
        </w:tc>
        <w:tc>
          <w:tcPr>
            <w:tcW w:w="3972" w:type="pct"/>
          </w:tcPr>
          <w:p w:rsidRPr="0065718D" w:rsidR="00591EA1" w:rsidP="00F4588D" w:rsidRDefault="00B8078F" w14:paraId="453F26AA" w14:textId="6BE8B750">
            <w:pPr>
              <w:rPr>
                <w:rFonts w:ascii="Calibri" w:hAnsi="Calibri" w:cs="Calibri"/>
              </w:rPr>
            </w:pPr>
            <w:r>
              <w:rPr>
                <w:rFonts w:ascii="Calibri" w:hAnsi="Calibri" w:cs="Calibri"/>
              </w:rPr>
              <w:t>Piano di Rigenerazione Amministrativa</w:t>
            </w:r>
          </w:p>
        </w:tc>
      </w:tr>
      <w:tr w:rsidR="00F4588D" w:rsidTr="006940F4" w14:paraId="0964C098" w14:textId="77777777">
        <w:trPr>
          <w:jc w:val="center"/>
        </w:trPr>
        <w:tc>
          <w:tcPr>
            <w:tcW w:w="1028" w:type="pct"/>
          </w:tcPr>
          <w:p w:rsidRPr="0065718D" w:rsidR="00F4588D" w:rsidP="00F4588D" w:rsidRDefault="00F4588D" w14:paraId="159328BF" w14:textId="793D3526">
            <w:pPr>
              <w:rPr>
                <w:rFonts w:ascii="Calibri" w:hAnsi="Calibri" w:cs="Calibri"/>
                <w:b/>
                <w:color w:val="0B769F" w:themeColor="accent4" w:themeShade="BF"/>
              </w:rPr>
            </w:pPr>
            <w:r w:rsidRPr="0065718D">
              <w:rPr>
                <w:rFonts w:ascii="Calibri" w:hAnsi="Calibri" w:cs="Calibri"/>
                <w:b/>
                <w:color w:val="0B769F" w:themeColor="accent4" w:themeShade="BF"/>
              </w:rPr>
              <w:t>Reg</w:t>
            </w:r>
          </w:p>
        </w:tc>
        <w:tc>
          <w:tcPr>
            <w:tcW w:w="3972" w:type="pct"/>
          </w:tcPr>
          <w:p w:rsidRPr="0065718D" w:rsidR="00F4588D" w:rsidP="00F4588D" w:rsidRDefault="00F4588D" w14:paraId="498ED76A" w14:textId="3C2CD9E8">
            <w:pPr>
              <w:rPr>
                <w:rFonts w:ascii="Calibri" w:hAnsi="Calibri" w:cs="Calibri"/>
              </w:rPr>
            </w:pPr>
            <w:r w:rsidRPr="0065718D">
              <w:rPr>
                <w:rFonts w:ascii="Calibri" w:hAnsi="Calibri" w:cs="Calibri"/>
              </w:rPr>
              <w:t>Regolamento (UE)</w:t>
            </w:r>
          </w:p>
        </w:tc>
      </w:tr>
      <w:tr w:rsidR="00F4588D" w:rsidTr="006940F4" w14:paraId="784F9963" w14:textId="77777777">
        <w:trPr>
          <w:jc w:val="center"/>
        </w:trPr>
        <w:tc>
          <w:tcPr>
            <w:tcW w:w="1028" w:type="pct"/>
          </w:tcPr>
          <w:p w:rsidRPr="0065718D" w:rsidR="00F4588D" w:rsidP="00F4588D" w:rsidRDefault="00F4588D" w14:paraId="04F8D834" w14:textId="20BC639A">
            <w:pPr>
              <w:rPr>
                <w:rFonts w:ascii="Calibri" w:hAnsi="Calibri" w:cs="Calibri"/>
                <w:b/>
                <w:color w:val="0B769F" w:themeColor="accent4" w:themeShade="BF"/>
              </w:rPr>
            </w:pPr>
            <w:r w:rsidRPr="0065718D">
              <w:rPr>
                <w:rFonts w:ascii="Calibri" w:hAnsi="Calibri" w:cs="Calibri"/>
                <w:b/>
                <w:color w:val="0B769F" w:themeColor="accent4" w:themeShade="BF"/>
              </w:rPr>
              <w:t>Si.Ge.Co.</w:t>
            </w:r>
          </w:p>
        </w:tc>
        <w:tc>
          <w:tcPr>
            <w:tcW w:w="3972" w:type="pct"/>
          </w:tcPr>
          <w:p w:rsidRPr="0065718D" w:rsidR="00F4588D" w:rsidP="00F4588D" w:rsidRDefault="00F4588D" w14:paraId="598AEFB2" w14:textId="7645CF80">
            <w:pPr>
              <w:rPr>
                <w:rFonts w:ascii="Calibri" w:hAnsi="Calibri" w:cs="Calibri"/>
              </w:rPr>
            </w:pPr>
            <w:r w:rsidRPr="0065718D">
              <w:rPr>
                <w:rFonts w:ascii="Calibri" w:hAnsi="Calibri" w:cs="Calibri"/>
              </w:rPr>
              <w:t>Sistema di Gestione e Controllo</w:t>
            </w:r>
          </w:p>
        </w:tc>
      </w:tr>
      <w:tr w:rsidR="00F4588D" w:rsidTr="006940F4" w14:paraId="63D6A5CD" w14:textId="77777777">
        <w:trPr>
          <w:jc w:val="center"/>
        </w:trPr>
        <w:tc>
          <w:tcPr>
            <w:tcW w:w="1028" w:type="pct"/>
          </w:tcPr>
          <w:p w:rsidRPr="0065718D" w:rsidR="00F4588D" w:rsidP="00F4588D" w:rsidRDefault="00F4588D" w14:paraId="5D1F2FF4" w14:textId="3CA3A70E">
            <w:pPr>
              <w:rPr>
                <w:rFonts w:ascii="Calibri" w:hAnsi="Calibri" w:cs="Calibri"/>
                <w:b/>
                <w:color w:val="0B769F" w:themeColor="accent4" w:themeShade="BF"/>
              </w:rPr>
            </w:pPr>
            <w:r w:rsidRPr="0065718D">
              <w:rPr>
                <w:rFonts w:ascii="Calibri" w:hAnsi="Calibri" w:cs="Calibri"/>
                <w:b/>
                <w:color w:val="0B769F" w:themeColor="accent4" w:themeShade="BF"/>
              </w:rPr>
              <w:t>SIE</w:t>
            </w:r>
          </w:p>
        </w:tc>
        <w:tc>
          <w:tcPr>
            <w:tcW w:w="3972" w:type="pct"/>
          </w:tcPr>
          <w:p w:rsidRPr="0065718D" w:rsidR="00F4588D" w:rsidP="00F4588D" w:rsidRDefault="00F4588D" w14:paraId="107F82F4" w14:textId="6D4C880B">
            <w:pPr>
              <w:rPr>
                <w:rFonts w:ascii="Calibri" w:hAnsi="Calibri" w:cs="Calibri"/>
              </w:rPr>
            </w:pPr>
            <w:r w:rsidRPr="0065718D">
              <w:rPr>
                <w:rFonts w:ascii="Calibri" w:hAnsi="Calibri" w:cs="Calibri"/>
              </w:rPr>
              <w:t xml:space="preserve">Fondi Strutturali e di Investimento Europei </w:t>
            </w:r>
          </w:p>
        </w:tc>
      </w:tr>
      <w:tr w:rsidR="00F4588D" w:rsidTr="006940F4" w14:paraId="39A5486D" w14:textId="77777777">
        <w:trPr>
          <w:jc w:val="center"/>
        </w:trPr>
        <w:tc>
          <w:tcPr>
            <w:tcW w:w="1028" w:type="pct"/>
          </w:tcPr>
          <w:p w:rsidRPr="0065718D" w:rsidR="00F4588D" w:rsidP="00F4588D" w:rsidRDefault="00F4588D" w14:paraId="474E8524" w14:textId="14D84DD9">
            <w:pPr>
              <w:rPr>
                <w:rFonts w:ascii="Calibri" w:hAnsi="Calibri" w:cs="Calibri"/>
                <w:b/>
                <w:color w:val="0B769F" w:themeColor="accent4" w:themeShade="BF"/>
              </w:rPr>
            </w:pPr>
            <w:r w:rsidRPr="0065718D">
              <w:rPr>
                <w:rFonts w:ascii="Calibri" w:hAnsi="Calibri" w:cs="Calibri"/>
                <w:b/>
                <w:color w:val="0B769F" w:themeColor="accent4" w:themeShade="BF"/>
              </w:rPr>
              <w:t>UE</w:t>
            </w:r>
          </w:p>
        </w:tc>
        <w:tc>
          <w:tcPr>
            <w:tcW w:w="3972" w:type="pct"/>
          </w:tcPr>
          <w:p w:rsidRPr="0065718D" w:rsidR="00F4588D" w:rsidP="00F4588D" w:rsidRDefault="00F4588D" w14:paraId="2A568607" w14:textId="492F45EA">
            <w:pPr>
              <w:rPr>
                <w:rFonts w:ascii="Calibri" w:hAnsi="Calibri" w:cs="Calibri"/>
              </w:rPr>
            </w:pPr>
            <w:r w:rsidRPr="0065718D">
              <w:rPr>
                <w:rFonts w:ascii="Calibri" w:hAnsi="Calibri" w:cs="Calibri"/>
              </w:rPr>
              <w:t xml:space="preserve">Unione Europea </w:t>
            </w:r>
          </w:p>
        </w:tc>
      </w:tr>
      <w:tr w:rsidR="00591EA1" w:rsidTr="006940F4" w14:paraId="6DBE1320" w14:textId="77777777">
        <w:trPr>
          <w:jc w:val="center"/>
        </w:trPr>
        <w:tc>
          <w:tcPr>
            <w:tcW w:w="1028" w:type="pct"/>
          </w:tcPr>
          <w:p w:rsidRPr="0065718D" w:rsidR="00591EA1" w:rsidP="00F4588D" w:rsidRDefault="00591EA1" w14:paraId="5C308AAE" w14:textId="56E9E3BC">
            <w:pPr>
              <w:rPr>
                <w:rFonts w:ascii="Calibri" w:hAnsi="Calibri" w:cs="Calibri"/>
                <w:b/>
                <w:color w:val="0B769F" w:themeColor="accent4" w:themeShade="BF"/>
              </w:rPr>
            </w:pPr>
            <w:r>
              <w:rPr>
                <w:rFonts w:ascii="Calibri" w:hAnsi="Calibri" w:cs="Calibri"/>
                <w:b/>
                <w:color w:val="0B769F" w:themeColor="accent4" w:themeShade="BF"/>
              </w:rPr>
              <w:t>U.O.</w:t>
            </w:r>
          </w:p>
        </w:tc>
        <w:tc>
          <w:tcPr>
            <w:tcW w:w="3972" w:type="pct"/>
          </w:tcPr>
          <w:p w:rsidRPr="0065718D" w:rsidR="00591EA1" w:rsidP="00F4588D" w:rsidRDefault="00591EA1" w14:paraId="4D451186" w14:textId="3EC91333">
            <w:pPr>
              <w:rPr>
                <w:rFonts w:ascii="Calibri" w:hAnsi="Calibri" w:cs="Calibri"/>
              </w:rPr>
            </w:pPr>
            <w:r>
              <w:rPr>
                <w:rFonts w:ascii="Calibri" w:hAnsi="Calibri" w:cs="Calibri"/>
              </w:rPr>
              <w:t>Unità Operative</w:t>
            </w:r>
          </w:p>
        </w:tc>
      </w:tr>
    </w:tbl>
    <w:p w:rsidRPr="004B0644" w:rsidR="001A0BDE" w:rsidP="005F59E1" w:rsidRDefault="001A0BDE" w14:paraId="0484D49A" w14:textId="77777777">
      <w:pPr>
        <w:rPr>
          <w:rFonts w:ascii="Calibri" w:hAnsi="Calibri" w:cs="Calibri"/>
          <w:color w:val="0070C0"/>
        </w:rPr>
      </w:pPr>
    </w:p>
    <w:p w:rsidR="52C5CEAB" w:rsidRDefault="52C5CEAB" w14:paraId="7B23B196" w14:textId="2B3C691D">
      <w:r>
        <w:br w:type="page"/>
      </w:r>
    </w:p>
    <w:p w:rsidRPr="004B0644" w:rsidR="000238DD" w:rsidP="00D55E00" w:rsidRDefault="52C5CEAB" w14:paraId="370767FE" w14:textId="180AF191">
      <w:pPr>
        <w:pStyle w:val="Heading1"/>
        <w:bidi/>
        <w:rPr>
          <w:rFonts w:ascii="Calibri" w:hAnsi="Calibri" w:cs="Calibri"/>
          <w:b/>
          <w:bCs/>
          <w:color w:val="0070C0"/>
          <w:sz w:val="32"/>
          <w:szCs w:val="32"/>
        </w:rPr>
      </w:pPr>
      <w:bookmarkStart w:name="_Toc190354095" w:id="2"/>
      <w:r w:rsidRPr="52C5CEAB">
        <w:rPr>
          <w:rFonts w:ascii="Calibri" w:hAnsi="Calibri" w:cs="Calibri"/>
          <w:b/>
          <w:bCs/>
          <w:color w:val="0070C0"/>
          <w:sz w:val="32"/>
          <w:szCs w:val="32"/>
        </w:rPr>
        <w:t>Premessa</w:t>
      </w:r>
      <w:bookmarkEnd w:id="2"/>
    </w:p>
    <w:p w:rsidR="00BA08CC" w:rsidP="00BA5E2C" w:rsidRDefault="00BA08CC" w14:paraId="25EA1BD0" w14:textId="59B67592">
      <w:pPr>
        <w:spacing w:before="120" w:after="100" w:afterAutospacing="1" w:line="276" w:lineRule="auto"/>
        <w:contextualSpacing/>
        <w:jc w:val="both"/>
        <w:rPr>
          <w:rFonts w:ascii="Calibri" w:hAnsi="Calibri" w:cs="Calibri"/>
        </w:rPr>
      </w:pPr>
      <w:r w:rsidRPr="00AC584C">
        <w:rPr>
          <w:rFonts w:ascii="Calibri" w:hAnsi="Calibri" w:cs="Calibri"/>
        </w:rPr>
        <w:t>In linea con quanto stabilito dai Regolamenti comunitari e dalla normativa nazionale, i Programmi Nazionali devono includere un sistema di controlli finalizzato a garantire una maggiore efficacia e trasparenza nell'impiego delle risorse finanziarie disponibili.</w:t>
      </w:r>
    </w:p>
    <w:p w:rsidRPr="00AC584C" w:rsidR="00BD341C" w:rsidP="00BA5E2C" w:rsidRDefault="00E54404" w14:paraId="7D4C30D8" w14:textId="2F855524">
      <w:pPr>
        <w:spacing w:before="120" w:after="100" w:afterAutospacing="1" w:line="276" w:lineRule="auto"/>
        <w:contextualSpacing/>
        <w:jc w:val="both"/>
        <w:rPr>
          <w:rFonts w:ascii="Calibri" w:hAnsi="Calibri" w:cs="Calibri"/>
        </w:rPr>
      </w:pPr>
      <w:r w:rsidRPr="00AC584C">
        <w:rPr>
          <w:rFonts w:ascii="Calibri" w:hAnsi="Calibri" w:cs="Calibri"/>
        </w:rPr>
        <w:t>Nell’ambito d</w:t>
      </w:r>
      <w:r w:rsidRPr="00AC584C" w:rsidR="00D85A03">
        <w:rPr>
          <w:rFonts w:ascii="Calibri" w:hAnsi="Calibri" w:cs="Calibri"/>
        </w:rPr>
        <w:t>i ciascun programma g</w:t>
      </w:r>
      <w:r w:rsidRPr="00AC584C" w:rsidR="00BD341C">
        <w:rPr>
          <w:rFonts w:ascii="Calibri" w:hAnsi="Calibri" w:cs="Calibri"/>
        </w:rPr>
        <w:t xml:space="preserve">li Stati membri sono responsabili di assicurare la correttezza e la regolarità delle spese dichiarate alla Commissione europea. I </w:t>
      </w:r>
      <w:r w:rsidRPr="00AC584C" w:rsidR="00D85A03">
        <w:rPr>
          <w:rFonts w:ascii="Calibri" w:hAnsi="Calibri" w:cs="Calibri"/>
        </w:rPr>
        <w:t>S</w:t>
      </w:r>
      <w:r w:rsidRPr="00AC584C" w:rsidR="00BD341C">
        <w:rPr>
          <w:rFonts w:ascii="Calibri" w:hAnsi="Calibri" w:cs="Calibri"/>
        </w:rPr>
        <w:t xml:space="preserve">istemi di </w:t>
      </w:r>
      <w:r w:rsidRPr="00AC584C" w:rsidR="002E12A1">
        <w:rPr>
          <w:rFonts w:ascii="Calibri" w:hAnsi="Calibri" w:cs="Calibri"/>
        </w:rPr>
        <w:t>G</w:t>
      </w:r>
      <w:r w:rsidRPr="00AC584C" w:rsidR="00BD341C">
        <w:rPr>
          <w:rFonts w:ascii="Calibri" w:hAnsi="Calibri" w:cs="Calibri"/>
        </w:rPr>
        <w:t xml:space="preserve">estione e </w:t>
      </w:r>
      <w:r w:rsidRPr="00AC584C" w:rsidR="002E12A1">
        <w:rPr>
          <w:rFonts w:ascii="Calibri" w:hAnsi="Calibri" w:cs="Calibri"/>
        </w:rPr>
        <w:t>C</w:t>
      </w:r>
      <w:r w:rsidRPr="00AC584C" w:rsidR="00BD341C">
        <w:rPr>
          <w:rFonts w:ascii="Calibri" w:hAnsi="Calibri" w:cs="Calibri"/>
        </w:rPr>
        <w:t>ontrollo</w:t>
      </w:r>
      <w:r w:rsidRPr="00AC584C" w:rsidR="002E12A1">
        <w:rPr>
          <w:rFonts w:ascii="Calibri" w:hAnsi="Calibri" w:cs="Calibri"/>
        </w:rPr>
        <w:t xml:space="preserve"> (Si.G</w:t>
      </w:r>
      <w:r w:rsidRPr="00AC584C" w:rsidR="00F1305A">
        <w:rPr>
          <w:rFonts w:ascii="Calibri" w:hAnsi="Calibri" w:cs="Calibri"/>
        </w:rPr>
        <w:t>e.Co.)</w:t>
      </w:r>
      <w:r w:rsidRPr="00AC584C" w:rsidR="00BD341C">
        <w:rPr>
          <w:rFonts w:ascii="Calibri" w:hAnsi="Calibri" w:cs="Calibri"/>
        </w:rPr>
        <w:t xml:space="preserve"> sono quindi progettati per prevenire possibili irregolarità e, nel caso in cui vengano individuate, per adottare tutte le misure necessarie a correggerle e sanarle.</w:t>
      </w:r>
    </w:p>
    <w:p w:rsidRPr="00AC584C" w:rsidR="00AC32A3" w:rsidP="00BA5E2C" w:rsidRDefault="00AF6B12" w14:paraId="25858AC5" w14:textId="15A6F40E">
      <w:pPr>
        <w:autoSpaceDE w:val="0"/>
        <w:autoSpaceDN w:val="0"/>
        <w:adjustRightInd w:val="0"/>
        <w:spacing w:after="100" w:afterAutospacing="1" w:line="276" w:lineRule="auto"/>
        <w:jc w:val="both"/>
        <w:rPr>
          <w:rFonts w:ascii="Calibri" w:hAnsi="Calibri" w:cs="Calibri"/>
        </w:rPr>
      </w:pPr>
      <w:r w:rsidRPr="00AC584C">
        <w:rPr>
          <w:rFonts w:ascii="Calibri" w:hAnsi="Calibri" w:cs="Calibri"/>
        </w:rPr>
        <w:t xml:space="preserve">Per il ciclo di Programmazione 2021-2027 </w:t>
      </w:r>
      <w:r w:rsidRPr="00AC584C" w:rsidR="00EB68E4">
        <w:rPr>
          <w:rFonts w:ascii="Calibri" w:hAnsi="Calibri" w:cs="Calibri"/>
        </w:rPr>
        <w:t xml:space="preserve">è stato approvato con </w:t>
      </w:r>
      <w:r w:rsidRPr="00AC584C" w:rsidR="00FA25CB">
        <w:rPr>
          <w:rFonts w:ascii="Calibri" w:hAnsi="Calibri" w:cs="Calibri"/>
        </w:rPr>
        <w:t>Decisione C (2022) 7959 del 28</w:t>
      </w:r>
      <w:r w:rsidRPr="00AC584C" w:rsidR="000F07CD">
        <w:rPr>
          <w:rFonts w:ascii="Calibri" w:hAnsi="Calibri" w:cs="Calibri"/>
        </w:rPr>
        <w:t xml:space="preserve"> ottobre </w:t>
      </w:r>
      <w:r w:rsidRPr="00AC584C" w:rsidR="00FA25CB">
        <w:rPr>
          <w:rFonts w:ascii="Calibri" w:hAnsi="Calibri" w:cs="Calibri"/>
        </w:rPr>
        <w:t>2022</w:t>
      </w:r>
      <w:r w:rsidRPr="00AC584C" w:rsidR="000F07CD">
        <w:rPr>
          <w:rFonts w:ascii="Calibri" w:hAnsi="Calibri" w:cs="Calibri"/>
        </w:rPr>
        <w:t xml:space="preserve"> il Programma Nazionale Cultura FESR 2021-2027 </w:t>
      </w:r>
      <w:r w:rsidRPr="00AC584C" w:rsidR="007750B2">
        <w:rPr>
          <w:rFonts w:ascii="Calibri" w:hAnsi="Calibri" w:cs="Calibri"/>
        </w:rPr>
        <w:t>finan</w:t>
      </w:r>
      <w:r w:rsidRPr="00AC584C" w:rsidR="004B518D">
        <w:rPr>
          <w:rFonts w:ascii="Calibri" w:hAnsi="Calibri" w:cs="Calibri"/>
        </w:rPr>
        <w:t xml:space="preserve">ziato dal </w:t>
      </w:r>
      <w:r w:rsidRPr="00AC584C" w:rsidR="007750B2">
        <w:rPr>
          <w:rFonts w:ascii="Calibri" w:hAnsi="Calibri" w:cs="Calibri"/>
        </w:rPr>
        <w:t>Fondo Europeo di Sviluppo Regionale (FESR)</w:t>
      </w:r>
      <w:r w:rsidRPr="00AC584C" w:rsidR="00FD0124">
        <w:rPr>
          <w:rFonts w:ascii="Calibri" w:hAnsi="Calibri" w:cs="Calibri"/>
        </w:rPr>
        <w:t xml:space="preserve">, al fine di garantire </w:t>
      </w:r>
      <w:r w:rsidRPr="00AC584C" w:rsidR="00B24838">
        <w:rPr>
          <w:rFonts w:ascii="Calibri" w:hAnsi="Calibri" w:cs="Calibri"/>
        </w:rPr>
        <w:t>la corretta attuazione del Progra</w:t>
      </w:r>
      <w:r w:rsidRPr="00AC584C" w:rsidR="00404945">
        <w:rPr>
          <w:rFonts w:ascii="Calibri" w:hAnsi="Calibri" w:cs="Calibri"/>
        </w:rPr>
        <w:t xml:space="preserve">mma e del </w:t>
      </w:r>
      <w:r w:rsidRPr="00AC584C" w:rsidR="00C464F6">
        <w:rPr>
          <w:rFonts w:ascii="Calibri" w:hAnsi="Calibri" w:cs="Calibri"/>
        </w:rPr>
        <w:t>Si</w:t>
      </w:r>
      <w:r w:rsidRPr="00AC584C" w:rsidR="00BC3DA2">
        <w:rPr>
          <w:rFonts w:ascii="Calibri" w:hAnsi="Calibri" w:cs="Calibri"/>
        </w:rPr>
        <w:t>.Ge.Co.</w:t>
      </w:r>
      <w:r w:rsidRPr="00AC584C" w:rsidR="00351142">
        <w:rPr>
          <w:rFonts w:ascii="Calibri" w:hAnsi="Calibri" w:cs="Calibri"/>
        </w:rPr>
        <w:t xml:space="preserve"> e in conformità </w:t>
      </w:r>
      <w:r w:rsidRPr="00AC584C" w:rsidR="00C86D44">
        <w:rPr>
          <w:rFonts w:ascii="Calibri" w:hAnsi="Calibri" w:cs="Calibri"/>
        </w:rPr>
        <w:t xml:space="preserve">con l’art. 71 del Regolamento generale UE n. 2021/1060 </w:t>
      </w:r>
      <w:r w:rsidRPr="00AC584C" w:rsidR="00DE0E2E">
        <w:rPr>
          <w:rFonts w:ascii="Calibri" w:hAnsi="Calibri" w:cs="Calibri"/>
        </w:rPr>
        <w:t>le funzioni delle diverse Autorità sono state distribuite come segue</w:t>
      </w:r>
      <w:r w:rsidRPr="00AC584C" w:rsidR="00AC32A3">
        <w:rPr>
          <w:rFonts w:ascii="Calibri" w:hAnsi="Calibri" w:cs="Calibri"/>
        </w:rPr>
        <w:t>:</w:t>
      </w:r>
    </w:p>
    <w:p w:rsidRPr="00E76471" w:rsidR="00C05752" w:rsidP="009C5076" w:rsidRDefault="00042DCF" w14:paraId="3E4961A3" w14:textId="1863FE25">
      <w:pPr>
        <w:pStyle w:val="BodyText"/>
        <w:numPr>
          <w:ilvl w:val="0"/>
          <w:numId w:val="44"/>
        </w:numPr>
        <w:adjustRightInd w:val="0"/>
        <w:spacing w:after="100" w:afterAutospacing="1" w:line="276" w:lineRule="auto"/>
        <w:ind w:right="2"/>
      </w:pPr>
      <w:r w:rsidRPr="00AC584C">
        <w:rPr>
          <w:b/>
          <w:bCs/>
          <w:color w:val="0070C0"/>
          <w:sz w:val="24"/>
          <w:szCs w:val="24"/>
        </w:rPr>
        <w:t>Autorità di Gestione (AdG)</w:t>
      </w:r>
      <w:r w:rsidRPr="00AC584C">
        <w:rPr>
          <w:sz w:val="24"/>
          <w:szCs w:val="24"/>
        </w:rPr>
        <w:t xml:space="preserve">, individuata nel Dirigente del </w:t>
      </w:r>
      <w:r w:rsidRPr="00AC584C">
        <w:rPr>
          <w:rStyle w:val="normaltextrun"/>
          <w:color w:val="000000"/>
          <w:sz w:val="24"/>
          <w:szCs w:val="24"/>
          <w:shd w:val="clear" w:color="auto" w:fill="FFFFFF"/>
        </w:rPr>
        <w:t xml:space="preserve">Servizio V – </w:t>
      </w:r>
      <w:r w:rsidRPr="00E76471" w:rsidR="00E76471">
        <w:t>dell’ex Segretariato Generale “Contratti e attuazione programmi” presso il Dipartimento per l’Amministrazione Generale (</w:t>
      </w:r>
      <w:proofErr w:type="spellStart"/>
      <w:r w:rsidRPr="00E76471" w:rsidR="00E76471">
        <w:t>DiAG</w:t>
      </w:r>
      <w:proofErr w:type="spellEnd"/>
      <w:r w:rsidRPr="00E76471" w:rsidR="00E76471">
        <w:t>)</w:t>
      </w:r>
      <w:r w:rsidRPr="00E76471" w:rsidR="34FA36BA">
        <w:t xml:space="preserve"> </w:t>
      </w:r>
      <w:r w:rsidRPr="00E76471" w:rsidR="00F10ED1">
        <w:rPr>
          <w:sz w:val="24"/>
          <w:szCs w:val="24"/>
        </w:rPr>
        <w:t xml:space="preserve">ha il compito di garantire il corretto funzionamento del </w:t>
      </w:r>
      <w:r w:rsidRPr="00E76471" w:rsidR="00172ED2">
        <w:rPr>
          <w:sz w:val="24"/>
          <w:szCs w:val="24"/>
        </w:rPr>
        <w:t>S</w:t>
      </w:r>
      <w:r w:rsidRPr="00E76471" w:rsidR="00F10ED1">
        <w:rPr>
          <w:sz w:val="24"/>
          <w:szCs w:val="24"/>
        </w:rPr>
        <w:t xml:space="preserve">istema di </w:t>
      </w:r>
      <w:r w:rsidRPr="00E76471" w:rsidR="00172ED2">
        <w:rPr>
          <w:sz w:val="24"/>
          <w:szCs w:val="24"/>
        </w:rPr>
        <w:t>G</w:t>
      </w:r>
      <w:r w:rsidRPr="00E76471" w:rsidR="00F10ED1">
        <w:rPr>
          <w:sz w:val="24"/>
          <w:szCs w:val="24"/>
        </w:rPr>
        <w:t xml:space="preserve">estione e </w:t>
      </w:r>
      <w:r w:rsidRPr="00E76471" w:rsidR="00172ED2">
        <w:rPr>
          <w:sz w:val="24"/>
          <w:szCs w:val="24"/>
        </w:rPr>
        <w:t>C</w:t>
      </w:r>
      <w:r w:rsidRPr="00E76471" w:rsidR="00F10ED1">
        <w:rPr>
          <w:sz w:val="24"/>
          <w:szCs w:val="24"/>
        </w:rPr>
        <w:t>ontrollo relativamente alle sue funzioni e responsabilità. È incaricat</w:t>
      </w:r>
      <w:r w:rsidRPr="00E76471" w:rsidR="00CE52A7">
        <w:rPr>
          <w:sz w:val="24"/>
          <w:szCs w:val="24"/>
        </w:rPr>
        <w:t>a</w:t>
      </w:r>
      <w:r w:rsidRPr="00E76471" w:rsidR="00F10ED1">
        <w:rPr>
          <w:sz w:val="24"/>
          <w:szCs w:val="24"/>
        </w:rPr>
        <w:t xml:space="preserve"> di verificare la completezza, l'accuratezza e la veridicità dei conti, assicurando che le spese registrate siano legittime, regolari e conformi alla normativa vigente. L’AdG svolge il controllo durante l’attuazione del Programma, effettuando verifiche amministrative </w:t>
      </w:r>
      <w:r w:rsidRPr="00E76471" w:rsidR="1F0411E9">
        <w:rPr>
          <w:sz w:val="24"/>
          <w:szCs w:val="24"/>
        </w:rPr>
        <w:t>su</w:t>
      </w:r>
      <w:r w:rsidRPr="00E76471" w:rsidR="00B1F83D">
        <w:rPr>
          <w:sz w:val="24"/>
          <w:szCs w:val="24"/>
        </w:rPr>
        <w:t>ll</w:t>
      </w:r>
      <w:r w:rsidRPr="00E76471" w:rsidR="4CB4EABC">
        <w:rPr>
          <w:sz w:val="24"/>
          <w:szCs w:val="24"/>
        </w:rPr>
        <w:t>e</w:t>
      </w:r>
      <w:r w:rsidRPr="00E76471" w:rsidR="4279DEEA">
        <w:rPr>
          <w:sz w:val="24"/>
          <w:szCs w:val="24"/>
        </w:rPr>
        <w:t xml:space="preserve"> </w:t>
      </w:r>
      <w:r w:rsidRPr="00E76471" w:rsidR="00B1F83D">
        <w:rPr>
          <w:sz w:val="24"/>
          <w:szCs w:val="24"/>
        </w:rPr>
        <w:t>d</w:t>
      </w:r>
      <w:r w:rsidRPr="00E76471" w:rsidR="1909EC39">
        <w:rPr>
          <w:sz w:val="24"/>
          <w:szCs w:val="24"/>
        </w:rPr>
        <w:t>omande di pagamento/rimborso</w:t>
      </w:r>
      <w:r w:rsidRPr="00E76471" w:rsidR="4279DEEA">
        <w:rPr>
          <w:sz w:val="24"/>
          <w:szCs w:val="24"/>
        </w:rPr>
        <w:t xml:space="preserve"> </w:t>
      </w:r>
      <w:r w:rsidRPr="00E76471" w:rsidR="7C9B33C4">
        <w:rPr>
          <w:sz w:val="24"/>
          <w:szCs w:val="24"/>
        </w:rPr>
        <w:t>presentate dai</w:t>
      </w:r>
      <w:r w:rsidRPr="00E76471" w:rsidR="11EEF9DC">
        <w:rPr>
          <w:sz w:val="24"/>
          <w:szCs w:val="24"/>
        </w:rPr>
        <w:t xml:space="preserve"> B</w:t>
      </w:r>
      <w:r w:rsidRPr="00E76471" w:rsidR="7C9B33C4">
        <w:rPr>
          <w:sz w:val="24"/>
          <w:szCs w:val="24"/>
        </w:rPr>
        <w:t xml:space="preserve">eneficiari </w:t>
      </w:r>
      <w:r w:rsidRPr="00E76471" w:rsidR="00F10ED1">
        <w:rPr>
          <w:sz w:val="24"/>
          <w:szCs w:val="24"/>
        </w:rPr>
        <w:t xml:space="preserve">e verifiche sul posto </w:t>
      </w:r>
      <w:r w:rsidRPr="00E76471" w:rsidR="006A2364">
        <w:rPr>
          <w:sz w:val="24"/>
          <w:szCs w:val="24"/>
        </w:rPr>
        <w:t>entrambi su base campionaria</w:t>
      </w:r>
      <w:r w:rsidRPr="00E76471" w:rsidR="00F10ED1">
        <w:rPr>
          <w:sz w:val="24"/>
          <w:szCs w:val="24"/>
        </w:rPr>
        <w:t>.</w:t>
      </w:r>
      <w:r w:rsidRPr="00E76471" w:rsidR="00AD7FEA">
        <w:rPr>
          <w:sz w:val="24"/>
          <w:szCs w:val="24"/>
        </w:rPr>
        <w:t xml:space="preserve"> L’AdG, nelle sue varie articolazioni, garantisce la separazione delle funzioni, individuando il personale destinato alle Unità operative e alle funzioni di supporto</w:t>
      </w:r>
      <w:r w:rsidRPr="00E76471" w:rsidR="00372F00">
        <w:rPr>
          <w:sz w:val="24"/>
          <w:szCs w:val="24"/>
        </w:rPr>
        <w:t>.</w:t>
      </w:r>
    </w:p>
    <w:p w:rsidRPr="00E76471" w:rsidR="00042DCF" w:rsidP="009C5076" w:rsidRDefault="00042DCF" w14:paraId="6E8DB75C" w14:textId="51F53F6F">
      <w:pPr>
        <w:pStyle w:val="ListParagraph"/>
        <w:numPr>
          <w:ilvl w:val="0"/>
          <w:numId w:val="10"/>
        </w:numPr>
        <w:autoSpaceDE w:val="0"/>
        <w:autoSpaceDN w:val="0"/>
        <w:adjustRightInd w:val="0"/>
        <w:spacing w:line="276" w:lineRule="auto"/>
        <w:ind w:left="714" w:hanging="357"/>
        <w:jc w:val="both"/>
        <w:rPr>
          <w:rFonts w:ascii="Calibri" w:hAnsi="Calibri" w:cs="Calibri"/>
        </w:rPr>
      </w:pPr>
      <w:r w:rsidRPr="00E76471">
        <w:rPr>
          <w:rFonts w:ascii="Calibri" w:hAnsi="Calibri" w:cs="Calibri"/>
          <w:b/>
          <w:bCs/>
          <w:color w:val="0070C0"/>
        </w:rPr>
        <w:t>Autorità Contabile (AC)</w:t>
      </w:r>
      <w:r w:rsidRPr="00E76471">
        <w:rPr>
          <w:rFonts w:ascii="Calibri" w:hAnsi="Calibri" w:cs="Calibri"/>
          <w:bCs/>
        </w:rPr>
        <w:t>,</w:t>
      </w:r>
      <w:r w:rsidRPr="00E76471">
        <w:rPr>
          <w:rFonts w:ascii="Calibri" w:hAnsi="Calibri" w:cs="Calibri"/>
        </w:rPr>
        <w:t xml:space="preserve"> organismo che svolge la Funzione Contabile, designato con nota AdG prot.n. 13630 del 19 aprile 2023 nel Direttore Generale della Direzione Generale Bilancio del Ministero della Cultura</w:t>
      </w:r>
      <w:r w:rsidR="007325C2">
        <w:rPr>
          <w:rFonts w:ascii="Calibri" w:hAnsi="Calibri" w:cs="Calibri"/>
        </w:rPr>
        <w:t xml:space="preserve">. </w:t>
      </w:r>
      <w:r w:rsidRPr="00E76471" w:rsidR="00D939F6">
        <w:rPr>
          <w:rFonts w:ascii="Calibri" w:hAnsi="Calibri" w:cs="Calibri"/>
        </w:rPr>
        <w:t>Secondo quanto previsto dall’articolo 76 del Regolamento (UE) 2021/1060, l’Organismo responsabile della Funzione Contabile svolge i seguenti compiti:</w:t>
      </w:r>
    </w:p>
    <w:p w:rsidRPr="00AC584C" w:rsidR="002030F6" w:rsidP="009C5076" w:rsidRDefault="002030F6" w14:paraId="541EDED4" w14:textId="30942A1F">
      <w:pPr>
        <w:numPr>
          <w:ilvl w:val="0"/>
          <w:numId w:val="11"/>
        </w:numPr>
        <w:pBdr>
          <w:top w:val="nil"/>
          <w:left w:val="nil"/>
          <w:bottom w:val="nil"/>
          <w:right w:val="nil"/>
          <w:between w:val="nil"/>
          <w:bar w:val="nil"/>
        </w:pBdr>
        <w:tabs>
          <w:tab w:val="left" w:pos="9214"/>
        </w:tabs>
        <w:spacing w:before="1" w:line="276" w:lineRule="auto"/>
        <w:ind w:left="1134" w:right="2"/>
        <w:jc w:val="both"/>
        <w:rPr>
          <w:rFonts w:ascii="Calibri" w:hAnsi="Calibri" w:cs="Calibri"/>
        </w:rPr>
      </w:pPr>
      <w:r w:rsidRPr="00AC584C">
        <w:rPr>
          <w:rFonts w:ascii="Calibri" w:hAnsi="Calibri" w:cs="Calibri"/>
        </w:rPr>
        <w:t>redigere e presentare le domande di pagamento alla Commissione in conformità degli articoli 91 e 92;</w:t>
      </w:r>
    </w:p>
    <w:p w:rsidRPr="00AC584C" w:rsidR="002030F6" w:rsidP="009C5076" w:rsidRDefault="002030F6" w14:paraId="3F5748AD" w14:textId="77777777">
      <w:pPr>
        <w:numPr>
          <w:ilvl w:val="0"/>
          <w:numId w:val="11"/>
        </w:numPr>
        <w:pBdr>
          <w:top w:val="nil"/>
          <w:left w:val="nil"/>
          <w:bottom w:val="nil"/>
          <w:right w:val="nil"/>
          <w:between w:val="nil"/>
          <w:bar w:val="nil"/>
        </w:pBdr>
        <w:tabs>
          <w:tab w:val="left" w:pos="9214"/>
        </w:tabs>
        <w:spacing w:before="1" w:after="100" w:afterAutospacing="1" w:line="276" w:lineRule="auto"/>
        <w:ind w:left="1134" w:right="2"/>
        <w:jc w:val="both"/>
        <w:rPr>
          <w:rFonts w:ascii="Calibri" w:hAnsi="Calibri" w:cs="Calibri"/>
        </w:rPr>
      </w:pPr>
      <w:r w:rsidRPr="00AC584C">
        <w:rPr>
          <w:rFonts w:ascii="Calibri" w:hAnsi="Calibri" w:cs="Calibri"/>
        </w:rPr>
        <w:t>redigere e presentare i conti, confermarne la completezza, l’accuratezza e la veridicità in conformità dell’articolo 98 e conservare registrazioni elettroniche di tutti gli elementi dei conti, comprese le domande di pagamento;</w:t>
      </w:r>
    </w:p>
    <w:p w:rsidRPr="00AC584C" w:rsidR="009577F5" w:rsidP="009C5076" w:rsidRDefault="002030F6" w14:paraId="7419F3DE" w14:textId="6E4C5BC3">
      <w:pPr>
        <w:numPr>
          <w:ilvl w:val="0"/>
          <w:numId w:val="11"/>
        </w:numPr>
        <w:pBdr>
          <w:top w:val="nil"/>
          <w:left w:val="nil"/>
          <w:bottom w:val="nil"/>
          <w:right w:val="nil"/>
          <w:between w:val="nil"/>
          <w:bar w:val="nil"/>
        </w:pBdr>
        <w:tabs>
          <w:tab w:val="left" w:pos="9214"/>
        </w:tabs>
        <w:spacing w:before="1" w:after="100" w:afterAutospacing="1" w:line="276" w:lineRule="auto"/>
        <w:ind w:left="1134" w:right="2"/>
        <w:jc w:val="both"/>
        <w:rPr>
          <w:rFonts w:ascii="Calibri" w:hAnsi="Calibri" w:cs="Calibri"/>
        </w:rPr>
      </w:pPr>
      <w:r w:rsidRPr="00AC584C">
        <w:rPr>
          <w:rFonts w:ascii="Calibri" w:hAnsi="Calibri" w:cs="Calibri"/>
        </w:rPr>
        <w:t xml:space="preserve">convertire in euro gli importi delle spese sostenute in un’altra valuta utilizzando il tasso di cambio contabile mensile della Commissione del mese nel quale la spesa in questione è registrata nei sistemi contabili dell’organismo responsabile dell’esecuzione dei compiti indicati nel presente articolo. </w:t>
      </w:r>
    </w:p>
    <w:p w:rsidR="002030F6" w:rsidP="00BA5E2C" w:rsidRDefault="00CA5957" w14:paraId="16EDCF43" w14:textId="51BFC1AF">
      <w:pPr>
        <w:spacing w:after="100" w:afterAutospacing="1" w:line="276" w:lineRule="auto"/>
        <w:ind w:left="709" w:right="2"/>
        <w:jc w:val="both"/>
        <w:rPr>
          <w:rFonts w:ascii="Calibri" w:hAnsi="Calibri" w:cs="Calibri"/>
        </w:rPr>
      </w:pPr>
      <w:r w:rsidRPr="0059055D">
        <w:rPr>
          <w:rFonts w:ascii="Calibri" w:hAnsi="Calibri" w:eastAsia="Calibri" w:cs="Calibri"/>
          <w:lang w:eastAsia="en-US"/>
          <w14:ligatures w14:val="none"/>
        </w:rPr>
        <w:t xml:space="preserve">Più nello specifico, l’AC, </w:t>
      </w:r>
      <w:r w:rsidRPr="0059055D" w:rsidR="006F5B90">
        <w:rPr>
          <w:rFonts w:ascii="Calibri" w:hAnsi="Calibri" w:eastAsia="Calibri" w:cs="Calibri"/>
          <w:lang w:eastAsia="en-US"/>
          <w14:ligatures w14:val="none"/>
        </w:rPr>
        <w:t xml:space="preserve">è articolata in due </w:t>
      </w:r>
      <w:r w:rsidRPr="0059055D" w:rsidR="007C2A92">
        <w:rPr>
          <w:rFonts w:ascii="Calibri" w:hAnsi="Calibri" w:eastAsia="Calibri" w:cs="Calibri"/>
          <w:lang w:eastAsia="en-US"/>
          <w14:ligatures w14:val="none"/>
        </w:rPr>
        <w:t>U</w:t>
      </w:r>
      <w:r w:rsidRPr="0059055D" w:rsidR="006F5B90">
        <w:rPr>
          <w:rFonts w:ascii="Calibri" w:hAnsi="Calibri" w:eastAsia="Calibri" w:cs="Calibri"/>
          <w:lang w:eastAsia="en-US"/>
          <w14:ligatures w14:val="none"/>
        </w:rPr>
        <w:t xml:space="preserve">nità </w:t>
      </w:r>
      <w:r w:rsidRPr="0059055D" w:rsidR="007C2A92">
        <w:rPr>
          <w:rFonts w:ascii="Calibri" w:hAnsi="Calibri" w:eastAsia="Calibri" w:cs="Calibri"/>
          <w:lang w:eastAsia="en-US"/>
          <w14:ligatures w14:val="none"/>
        </w:rPr>
        <w:t>O</w:t>
      </w:r>
      <w:r w:rsidRPr="0059055D" w:rsidR="006F5B90">
        <w:rPr>
          <w:rFonts w:ascii="Calibri" w:hAnsi="Calibri" w:eastAsia="Calibri" w:cs="Calibri"/>
          <w:lang w:eastAsia="en-US"/>
          <w14:ligatures w14:val="none"/>
        </w:rPr>
        <w:t xml:space="preserve">perative </w:t>
      </w:r>
      <w:r w:rsidRPr="0059055D" w:rsidR="000B7F86">
        <w:rPr>
          <w:rFonts w:ascii="Calibri" w:hAnsi="Calibri" w:eastAsia="Calibri" w:cs="Calibri"/>
          <w:lang w:eastAsia="en-US"/>
          <w14:ligatures w14:val="none"/>
        </w:rPr>
        <w:t xml:space="preserve">che sono divise, per </w:t>
      </w:r>
      <w:r w:rsidRPr="0059055D" w:rsidR="0082245B">
        <w:rPr>
          <w:rFonts w:ascii="Calibri" w:hAnsi="Calibri" w:eastAsia="Calibri" w:cs="Calibri"/>
          <w:lang w:eastAsia="en-US"/>
          <w14:ligatures w14:val="none"/>
        </w:rPr>
        <w:t xml:space="preserve">garantire una corretta esecuzione delle attività in U.O.1 Bilancio e U.O. 2 </w:t>
      </w:r>
      <w:r w:rsidRPr="0059055D" w:rsidR="0059055D">
        <w:rPr>
          <w:rFonts w:ascii="Calibri" w:hAnsi="Calibri" w:eastAsia="Calibri" w:cs="Calibri"/>
          <w:lang w:eastAsia="en-US"/>
          <w14:ligatures w14:val="none"/>
        </w:rPr>
        <w:t>Certificazione delle spese</w:t>
      </w:r>
      <w:r w:rsidRPr="0059055D" w:rsidR="00372F00">
        <w:rPr>
          <w:rFonts w:ascii="Calibri" w:hAnsi="Calibri" w:cs="Calibri"/>
        </w:rPr>
        <w:t>.</w:t>
      </w:r>
    </w:p>
    <w:p w:rsidRPr="00AC584C" w:rsidR="00BA2294" w:rsidP="009C5076" w:rsidRDefault="35CD470B" w14:paraId="28920A79" w14:textId="77777777">
      <w:pPr>
        <w:numPr>
          <w:ilvl w:val="0"/>
          <w:numId w:val="9"/>
        </w:numPr>
        <w:pBdr>
          <w:top w:val="nil"/>
          <w:left w:val="nil"/>
          <w:bottom w:val="nil"/>
          <w:right w:val="nil"/>
          <w:between w:val="nil"/>
          <w:bar w:val="nil"/>
        </w:pBdr>
        <w:tabs>
          <w:tab w:val="left" w:pos="9214"/>
        </w:tabs>
        <w:spacing w:before="1" w:after="100" w:afterAutospacing="1" w:line="276" w:lineRule="auto"/>
        <w:ind w:left="567" w:right="2" w:hanging="425"/>
        <w:jc w:val="both"/>
        <w:rPr>
          <w:rFonts w:ascii="Calibri" w:hAnsi="Calibri" w:cs="Calibri"/>
        </w:rPr>
      </w:pPr>
      <w:r w:rsidRPr="35CD470B">
        <w:rPr>
          <w:rFonts w:ascii="Calibri" w:hAnsi="Calibri" w:cs="Calibri"/>
          <w:b/>
          <w:bCs/>
          <w:color w:val="0070C0"/>
        </w:rPr>
        <w:t>Autorità di Audit (</w:t>
      </w:r>
      <w:proofErr w:type="spellStart"/>
      <w:r w:rsidRPr="35CD470B">
        <w:rPr>
          <w:rFonts w:ascii="Calibri" w:hAnsi="Calibri" w:cs="Calibri"/>
          <w:b/>
          <w:bCs/>
          <w:color w:val="0070C0"/>
        </w:rPr>
        <w:t>AdA</w:t>
      </w:r>
      <w:proofErr w:type="spellEnd"/>
      <w:r w:rsidRPr="35CD470B">
        <w:rPr>
          <w:rFonts w:ascii="Calibri" w:hAnsi="Calibri" w:cs="Calibri"/>
          <w:b/>
          <w:bCs/>
          <w:color w:val="0070C0"/>
        </w:rPr>
        <w:t>)</w:t>
      </w:r>
      <w:r w:rsidRPr="35CD470B">
        <w:rPr>
          <w:rFonts w:ascii="Calibri" w:hAnsi="Calibri" w:cs="Calibri"/>
        </w:rPr>
        <w:t xml:space="preserve">, è individuata nell’Ispettorato Generale per i Rapporti finanziari con l’Unione europea (IGRUE) nell’ambito del Dipartimento della Ragioneria generale dello Stato del Ministero dell'economia e delle finanze - ai sensi di quanto disposto dall’art. 50, comma 13, lettera d) e dell’art.51, comma 1 del decreto-legge 24 febbraio 2023 n. 13 convertito, con modificazioni, dalla legge 21 aprile 2023, n.41 (in G.U. 21/04/2023, n. 94). Definita nell’articolo 77 del Reg. (UE) n. 2021/1060, l’azione </w:t>
      </w:r>
      <w:proofErr w:type="spellStart"/>
      <w:r w:rsidRPr="35CD470B">
        <w:rPr>
          <w:rFonts w:ascii="Calibri" w:hAnsi="Calibri" w:cs="Calibri"/>
        </w:rPr>
        <w:t>dell’AdA</w:t>
      </w:r>
      <w:proofErr w:type="spellEnd"/>
      <w:r w:rsidRPr="35CD470B">
        <w:rPr>
          <w:rFonts w:ascii="Calibri" w:hAnsi="Calibri" w:cs="Calibri"/>
        </w:rPr>
        <w:t xml:space="preserve"> rappresenta una garanzia indipendente del funzionamento efficace dei sistemi di gestione e controllo e della legittimità e regolarità delle spese incluse nei conti presentati alla Commissione.</w:t>
      </w:r>
    </w:p>
    <w:p w:rsidR="35CD470B" w:rsidP="35CD470B" w:rsidRDefault="35CD470B" w14:paraId="1D11949F" w14:textId="6F2F1CB0">
      <w:pPr>
        <w:spacing w:before="120" w:afterAutospacing="1" w:line="276" w:lineRule="auto"/>
        <w:contextualSpacing/>
        <w:jc w:val="both"/>
        <w:rPr>
          <w:rFonts w:ascii="Calibri" w:hAnsi="Calibri" w:cs="Calibri"/>
        </w:rPr>
      </w:pPr>
    </w:p>
    <w:p w:rsidRPr="00AC584C" w:rsidR="00AC32A3" w:rsidP="35CD470B" w:rsidRDefault="35CD470B" w14:paraId="4C6DB47C" w14:textId="13C63978">
      <w:pPr>
        <w:spacing w:before="120" w:after="100" w:afterAutospacing="1" w:line="276" w:lineRule="auto"/>
        <w:contextualSpacing/>
        <w:jc w:val="both"/>
        <w:rPr>
          <w:rFonts w:ascii="Calibri" w:hAnsi="Calibri" w:cs="Calibri"/>
        </w:rPr>
      </w:pPr>
      <w:r w:rsidRPr="35CD470B">
        <w:rPr>
          <w:rFonts w:ascii="Calibri" w:hAnsi="Calibri" w:cs="Calibri"/>
        </w:rPr>
        <w:t xml:space="preserve">Oltre ai controlli svolti dalle Autorità di programma, vi sono verifiche che possono essere effettuate da vari soggetti esterni, tra cui la Commissione europea, la </w:t>
      </w:r>
      <w:proofErr w:type="gramStart"/>
      <w:r w:rsidRPr="35CD470B">
        <w:rPr>
          <w:rFonts w:ascii="Calibri" w:hAnsi="Calibri" w:cs="Calibri"/>
        </w:rPr>
        <w:t>Corte dei Conti</w:t>
      </w:r>
      <w:proofErr w:type="gramEnd"/>
      <w:r w:rsidRPr="35CD470B">
        <w:rPr>
          <w:rFonts w:ascii="Calibri" w:hAnsi="Calibri" w:cs="Calibri"/>
        </w:rPr>
        <w:t xml:space="preserve"> Italiana, la Corte dei Conti Europea, OLAF, la Guardia di Finanza, etc. Questi enti, durante l'intero ciclo di vita del programma, possono esaminare singole operazioni o i sistemi di gestione e controllo.</w:t>
      </w:r>
    </w:p>
    <w:p w:rsidRPr="005452DC" w:rsidR="00AC32A3" w:rsidP="005452DC" w:rsidRDefault="00AC32A3" w14:paraId="69D4D894" w14:textId="77777777">
      <w:pPr>
        <w:spacing w:before="120" w:after="120" w:line="276" w:lineRule="auto"/>
        <w:contextualSpacing/>
        <w:jc w:val="both"/>
      </w:pPr>
    </w:p>
    <w:p w:rsidR="002A24EF" w:rsidP="002A24EF" w:rsidRDefault="35CD470B" w14:paraId="1025DEE1" w14:textId="6C5D8D8F">
      <w:pPr>
        <w:spacing w:before="120" w:after="120" w:line="276" w:lineRule="auto"/>
        <w:jc w:val="both"/>
        <w:rPr>
          <w:rFonts w:ascii="Calibri" w:hAnsi="Calibri" w:cs="Calibri"/>
        </w:rPr>
      </w:pPr>
      <w:r w:rsidRPr="35CD470B">
        <w:rPr>
          <w:rFonts w:ascii="Calibri" w:hAnsi="Calibri" w:cs="Calibri"/>
        </w:rPr>
        <w:t xml:space="preserve">Il presente Manuale, consultabile sul sito istituzionale del </w:t>
      </w:r>
      <w:hyperlink r:id="rId15">
        <w:r w:rsidRPr="35CD470B">
          <w:rPr>
            <w:rStyle w:val="Hyperlink"/>
            <w:rFonts w:ascii="Calibri" w:hAnsi="Calibri" w:cs="Calibri"/>
            <w:b/>
            <w:bCs/>
          </w:rPr>
          <w:t>Programma Nazionale Cultura</w:t>
        </w:r>
      </w:hyperlink>
      <w:r w:rsidRPr="35CD470B">
        <w:rPr>
          <w:rFonts w:ascii="Calibri" w:hAnsi="Calibri" w:cs="Calibri"/>
        </w:rPr>
        <w:t>, rappresenta un compendio di informazioni e strumenti utili a orientare l’azione degli organismi preposti alle verifiche di gestione, promuovendo un’azione efficace ed efficiente.</w:t>
      </w:r>
    </w:p>
    <w:p w:rsidRPr="000D38D4" w:rsidR="000D38D4" w:rsidP="000D38D4" w:rsidRDefault="000D38D4" w14:paraId="3AE3C18A" w14:textId="60078494">
      <w:pPr>
        <w:spacing w:before="120" w:after="120" w:line="276" w:lineRule="auto"/>
        <w:jc w:val="both"/>
        <w:rPr>
          <w:rFonts w:ascii="Calibri" w:hAnsi="Calibri" w:cs="Calibri"/>
        </w:rPr>
      </w:pPr>
      <w:r w:rsidRPr="000D38D4">
        <w:rPr>
          <w:rFonts w:ascii="Calibri" w:hAnsi="Calibri" w:cs="Calibri"/>
        </w:rPr>
        <w:t>Nel presente manuale, come indicato nel SI.Ge.CO., v</w:t>
      </w:r>
      <w:r w:rsidR="00D64404">
        <w:rPr>
          <w:rFonts w:ascii="Calibri" w:hAnsi="Calibri" w:cs="Calibri"/>
        </w:rPr>
        <w:t>engono descritte</w:t>
      </w:r>
      <w:r w:rsidRPr="000D38D4">
        <w:rPr>
          <w:rFonts w:ascii="Calibri" w:hAnsi="Calibri" w:cs="Calibri"/>
        </w:rPr>
        <w:t xml:space="preserve"> l</w:t>
      </w:r>
      <w:r w:rsidR="00D64404">
        <w:rPr>
          <w:rFonts w:ascii="Calibri" w:hAnsi="Calibri" w:cs="Calibri"/>
        </w:rPr>
        <w:t>e</w:t>
      </w:r>
      <w:r w:rsidRPr="000D38D4">
        <w:rPr>
          <w:rFonts w:ascii="Calibri" w:hAnsi="Calibri" w:cs="Calibri"/>
        </w:rPr>
        <w:t xml:space="preserve"> struttur</w:t>
      </w:r>
      <w:r w:rsidR="00D64404">
        <w:rPr>
          <w:rFonts w:ascii="Calibri" w:hAnsi="Calibri" w:cs="Calibri"/>
        </w:rPr>
        <w:t>e</w:t>
      </w:r>
      <w:r w:rsidR="004F3CAA">
        <w:rPr>
          <w:rFonts w:ascii="Calibri" w:hAnsi="Calibri" w:cs="Calibri"/>
        </w:rPr>
        <w:t xml:space="preserve"> dell’</w:t>
      </w:r>
      <w:r w:rsidRPr="000D38D4">
        <w:rPr>
          <w:rFonts w:ascii="Calibri" w:hAnsi="Calibri" w:cs="Calibri"/>
        </w:rPr>
        <w:t>AdG individuat</w:t>
      </w:r>
      <w:r w:rsidR="00D64404">
        <w:rPr>
          <w:rFonts w:ascii="Calibri" w:hAnsi="Calibri" w:cs="Calibri"/>
        </w:rPr>
        <w:t>e</w:t>
      </w:r>
      <w:r w:rsidRPr="000D38D4">
        <w:rPr>
          <w:rFonts w:ascii="Calibri" w:hAnsi="Calibri" w:cs="Calibri"/>
        </w:rPr>
        <w:t xml:space="preserve"> con il </w:t>
      </w:r>
      <w:r w:rsidRPr="00E76471" w:rsidR="00D60849">
        <w:rPr>
          <w:rFonts w:ascii="Calibri" w:hAnsi="Calibri" w:eastAsia="Calibri" w:cs="Calibri"/>
          <w:lang w:eastAsia="en-US"/>
          <w14:ligatures w14:val="none"/>
        </w:rPr>
        <w:t>Decreto Ministeriale n. 270 del 5 settembre 2024</w:t>
      </w:r>
      <w:r w:rsidR="00D64404">
        <w:rPr>
          <w:rFonts w:ascii="Calibri" w:hAnsi="Calibri" w:cs="Calibri"/>
        </w:rPr>
        <w:t xml:space="preserve">. </w:t>
      </w:r>
      <w:r w:rsidR="00D60849">
        <w:rPr>
          <w:rFonts w:ascii="Calibri" w:hAnsi="Calibri" w:cs="Calibri"/>
        </w:rPr>
        <w:t>Si ricorda che il</w:t>
      </w:r>
      <w:r w:rsidRPr="000D38D4" w:rsidR="00A206D1">
        <w:rPr>
          <w:rFonts w:ascii="Calibri" w:hAnsi="Calibri" w:cs="Calibri"/>
        </w:rPr>
        <w:t xml:space="preserve"> processo</w:t>
      </w:r>
      <w:r w:rsidRPr="000D38D4">
        <w:rPr>
          <w:rFonts w:ascii="Calibri" w:hAnsi="Calibri" w:cs="Calibri"/>
        </w:rPr>
        <w:t xml:space="preserve"> di riorganizzazione </w:t>
      </w:r>
      <w:r w:rsidR="00D60849">
        <w:rPr>
          <w:rFonts w:ascii="Calibri" w:hAnsi="Calibri" w:cs="Calibri"/>
        </w:rPr>
        <w:t xml:space="preserve">è </w:t>
      </w:r>
      <w:r w:rsidRPr="000D38D4">
        <w:rPr>
          <w:rFonts w:ascii="Calibri" w:hAnsi="Calibri" w:cs="Calibri"/>
        </w:rPr>
        <w:t>ancora in corso (</w:t>
      </w:r>
      <w:proofErr w:type="spellStart"/>
      <w:r w:rsidRPr="000D38D4">
        <w:rPr>
          <w:rFonts w:ascii="Calibri" w:hAnsi="Calibri" w:cs="Calibri"/>
          <w:i/>
          <w:iCs/>
        </w:rPr>
        <w:t>rif.</w:t>
      </w:r>
      <w:proofErr w:type="spellEnd"/>
      <w:r w:rsidRPr="000D38D4">
        <w:rPr>
          <w:rFonts w:ascii="Calibri" w:hAnsi="Calibri" w:cs="Calibri"/>
          <w:i/>
          <w:iCs/>
        </w:rPr>
        <w:t xml:space="preserve"> processo di riorganizzazione di cui al DPCM del 15 marzo 2024 n. 57</w:t>
      </w:r>
      <w:r w:rsidRPr="000D38D4">
        <w:rPr>
          <w:rFonts w:ascii="Calibri" w:hAnsi="Calibri" w:cs="Calibri"/>
        </w:rPr>
        <w:t xml:space="preserve">) </w:t>
      </w:r>
      <w:r w:rsidR="00D60849">
        <w:rPr>
          <w:rFonts w:ascii="Calibri" w:hAnsi="Calibri" w:cs="Calibri"/>
        </w:rPr>
        <w:t xml:space="preserve">e si completerà con </w:t>
      </w:r>
      <w:r w:rsidRPr="000D38D4">
        <w:rPr>
          <w:rFonts w:ascii="Calibri" w:hAnsi="Calibri" w:cs="Calibri"/>
        </w:rPr>
        <w:t xml:space="preserve">l’adozione dei decreti di conferimento degli incarichi dirigenziali per le strutture riorganizzate ed alla definizione delle procedure di conferimento degli incarichi dirigenziali di seconda fascia relativi alla nuova organizzazione del Ministero </w:t>
      </w:r>
      <w:r w:rsidRPr="000D38D4">
        <w:rPr>
          <w:rFonts w:ascii="Calibri" w:hAnsi="Calibri" w:cs="Calibri"/>
          <w:i/>
          <w:iCs/>
        </w:rPr>
        <w:t>(</w:t>
      </w:r>
      <w:proofErr w:type="spellStart"/>
      <w:r w:rsidRPr="000D38D4">
        <w:rPr>
          <w:rFonts w:ascii="Calibri" w:hAnsi="Calibri" w:cs="Calibri"/>
          <w:i/>
          <w:iCs/>
        </w:rPr>
        <w:t>rif.</w:t>
      </w:r>
      <w:proofErr w:type="spellEnd"/>
      <w:r w:rsidRPr="000D38D4">
        <w:rPr>
          <w:rFonts w:ascii="Calibri" w:hAnsi="Calibri" w:cs="Calibri"/>
          <w:i/>
          <w:iCs/>
        </w:rPr>
        <w:t xml:space="preserve"> art. 41 c. 3 del D.P.C.M. 15 marzo 2024 n. 57 –</w:t>
      </w:r>
      <w:r w:rsidRPr="000D38D4">
        <w:rPr>
          <w:rFonts w:ascii="Calibri" w:hAnsi="Calibri" w:cs="Calibri"/>
        </w:rPr>
        <w:t xml:space="preserve"> “</w:t>
      </w:r>
      <w:r w:rsidRPr="000D38D4">
        <w:rPr>
          <w:rFonts w:ascii="Calibri" w:hAnsi="Calibri" w:cs="Calibri"/>
          <w:i/>
          <w:iCs/>
        </w:rPr>
        <w:t>Regolamento di organizzazione del Ministero della Cultura, degli uffici di diretta collaborazione del Ministero e dell’Organismo Indipendente di valutazione delle performance</w:t>
      </w:r>
      <w:r w:rsidRPr="000D38D4">
        <w:rPr>
          <w:rFonts w:ascii="Calibri" w:hAnsi="Calibri" w:cs="Calibri"/>
        </w:rPr>
        <w:t xml:space="preserve">”). </w:t>
      </w:r>
    </w:p>
    <w:p w:rsidR="0094450B" w:rsidP="002A24EF" w:rsidRDefault="002A24EF" w14:paraId="17E41171" w14:textId="1EF46EA0">
      <w:pPr>
        <w:spacing w:before="120" w:after="120" w:line="276" w:lineRule="auto"/>
        <w:jc w:val="both"/>
        <w:rPr>
          <w:rFonts w:ascii="Calibri" w:hAnsi="Calibri" w:cs="Calibri"/>
        </w:rPr>
      </w:pPr>
      <w:r w:rsidRPr="002A24EF">
        <w:rPr>
          <w:rFonts w:ascii="Calibri" w:hAnsi="Calibri" w:cs="Calibri"/>
        </w:rPr>
        <w:t>Il documento</w:t>
      </w:r>
      <w:r w:rsidR="00D64404">
        <w:rPr>
          <w:rFonts w:ascii="Calibri" w:hAnsi="Calibri" w:cs="Calibri"/>
        </w:rPr>
        <w:t xml:space="preserve">, come precedentemente indicato, </w:t>
      </w:r>
      <w:r w:rsidRPr="002A24EF">
        <w:rPr>
          <w:rFonts w:ascii="Calibri" w:hAnsi="Calibri" w:cs="Calibri"/>
        </w:rPr>
        <w:t xml:space="preserve">è suscettibile di aggiornamenti nel corso dell’attuazione del Programma, in risposta a modifiche normative, organizzative e procedurali o su indicazione di organismi di controllo nazionali e comunitari. </w:t>
      </w:r>
    </w:p>
    <w:p w:rsidR="0094450B" w:rsidRDefault="0094450B" w14:paraId="2244B0A4" w14:textId="77777777">
      <w:pPr>
        <w:spacing w:after="160" w:line="259" w:lineRule="auto"/>
        <w:rPr>
          <w:rFonts w:ascii="Calibri" w:hAnsi="Calibri" w:cs="Calibri"/>
        </w:rPr>
      </w:pPr>
      <w:r>
        <w:rPr>
          <w:rFonts w:ascii="Calibri" w:hAnsi="Calibri" w:cs="Calibri"/>
        </w:rPr>
        <w:br w:type="page"/>
      </w:r>
    </w:p>
    <w:p w:rsidR="00636766" w:rsidP="009C5076" w:rsidRDefault="35CD470B" w14:paraId="7DB92154" w14:textId="74ABF210">
      <w:pPr>
        <w:pStyle w:val="Heading1"/>
        <w:numPr>
          <w:ilvl w:val="0"/>
          <w:numId w:val="26"/>
        </w:numPr>
        <w:rPr>
          <w:rFonts w:ascii="Calibri" w:hAnsi="Calibri" w:cs="Calibri"/>
          <w:b/>
          <w:bCs/>
          <w:color w:val="0070C0"/>
          <w:sz w:val="32"/>
          <w:szCs w:val="32"/>
        </w:rPr>
      </w:pPr>
      <w:bookmarkStart w:name="_Toc190354096" w:id="3"/>
      <w:r w:rsidRPr="35CD470B">
        <w:rPr>
          <w:rFonts w:ascii="Calibri" w:hAnsi="Calibri" w:cs="Calibri"/>
          <w:b/>
          <w:bCs/>
          <w:color w:val="0070C0"/>
          <w:sz w:val="32"/>
          <w:szCs w:val="32"/>
        </w:rPr>
        <w:t>Normativa di riferimento</w:t>
      </w:r>
      <w:bookmarkEnd w:id="3"/>
      <w:r w:rsidRPr="35CD470B">
        <w:rPr>
          <w:rFonts w:ascii="Calibri" w:hAnsi="Calibri" w:cs="Calibri"/>
          <w:b/>
          <w:bCs/>
          <w:color w:val="0070C0"/>
          <w:sz w:val="32"/>
          <w:szCs w:val="32"/>
        </w:rPr>
        <w:t xml:space="preserve"> </w:t>
      </w:r>
    </w:p>
    <w:p w:rsidRPr="004D1AC9" w:rsidR="007362EA" w:rsidP="009C5076" w:rsidRDefault="52C5CEAB" w14:paraId="732876D8" w14:textId="31698E4A">
      <w:pPr>
        <w:pStyle w:val="Heading2"/>
        <w:numPr>
          <w:ilvl w:val="1"/>
          <w:numId w:val="29"/>
        </w:numPr>
        <w:rPr>
          <w:rFonts w:ascii="Calibri" w:hAnsi="Calibri" w:cs="Calibri"/>
          <w:b/>
          <w:bCs/>
          <w:color w:val="215E99" w:themeColor="text2" w:themeTint="BF"/>
          <w:sz w:val="28"/>
          <w:szCs w:val="28"/>
        </w:rPr>
      </w:pPr>
      <w:bookmarkStart w:name="_Toc188903497" w:id="4"/>
      <w:bookmarkStart w:name="_Toc190354097" w:id="5"/>
      <w:r w:rsidRPr="52C5CEAB">
        <w:rPr>
          <w:rFonts w:ascii="Calibri" w:hAnsi="Calibri" w:cs="Calibri"/>
          <w:b/>
          <w:bCs/>
          <w:color w:val="215E99" w:themeColor="text2" w:themeTint="BF"/>
          <w:sz w:val="28"/>
          <w:szCs w:val="28"/>
        </w:rPr>
        <w:t>Regolamenti UE</w:t>
      </w:r>
      <w:bookmarkEnd w:id="4"/>
      <w:bookmarkEnd w:id="5"/>
    </w:p>
    <w:tbl>
      <w:tblPr>
        <w:tblW w:w="0" w:type="auto"/>
        <w:tblInd w:w="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2816"/>
        <w:gridCol w:w="6163"/>
      </w:tblGrid>
      <w:tr w:rsidRPr="007362EA" w:rsidR="007362EA" w:rsidTr="35CD470B" w14:paraId="4BF4486C" w14:textId="77777777">
        <w:trPr>
          <w:trHeight w:val="733"/>
        </w:trPr>
        <w:tc>
          <w:tcPr>
            <w:tcW w:w="2816" w:type="dxa"/>
            <w:vAlign w:val="center"/>
          </w:tcPr>
          <w:p w:rsidRPr="004178F2" w:rsidR="007362EA" w:rsidP="0071643C" w:rsidRDefault="007362EA" w14:paraId="72642E95"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TFUE</w:t>
            </w:r>
          </w:p>
        </w:tc>
        <w:tc>
          <w:tcPr>
            <w:tcW w:w="6163" w:type="dxa"/>
            <w:vAlign w:val="center"/>
          </w:tcPr>
          <w:p w:rsidRPr="004178F2" w:rsidR="007362EA" w:rsidP="0071643C" w:rsidRDefault="007362EA" w14:paraId="085BFC8C" w14:textId="77777777">
            <w:pPr>
              <w:pStyle w:val="Default"/>
              <w:rPr>
                <w:sz w:val="20"/>
                <w:szCs w:val="20"/>
              </w:rPr>
            </w:pPr>
            <w:r w:rsidRPr="004178F2">
              <w:rPr>
                <w:color w:val="auto"/>
                <w:sz w:val="20"/>
                <w:szCs w:val="20"/>
              </w:rPr>
              <w:t>Trattato sul funzionamento dell’Unione europea</w:t>
            </w:r>
          </w:p>
        </w:tc>
      </w:tr>
      <w:tr w:rsidRPr="007362EA" w:rsidR="007362EA" w:rsidTr="35CD470B" w14:paraId="2872757A" w14:textId="77777777">
        <w:trPr>
          <w:trHeight w:val="733"/>
        </w:trPr>
        <w:tc>
          <w:tcPr>
            <w:tcW w:w="2816" w:type="dxa"/>
            <w:vAlign w:val="center"/>
          </w:tcPr>
          <w:p w:rsidRPr="004178F2" w:rsidR="007362EA" w:rsidP="0071643C" w:rsidRDefault="007362EA" w14:paraId="758B2E99"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Regolamento (UE, EURATOM) 2020/2093</w:t>
            </w:r>
          </w:p>
        </w:tc>
        <w:tc>
          <w:tcPr>
            <w:tcW w:w="6163" w:type="dxa"/>
            <w:vAlign w:val="center"/>
          </w:tcPr>
          <w:p w:rsidRPr="004178F2" w:rsidR="007362EA" w:rsidP="0071643C" w:rsidRDefault="007362EA" w14:paraId="77879BD7" w14:textId="77777777">
            <w:pPr>
              <w:pStyle w:val="Default"/>
              <w:rPr>
                <w:color w:val="auto"/>
                <w:sz w:val="20"/>
                <w:szCs w:val="20"/>
              </w:rPr>
            </w:pPr>
            <w:r w:rsidRPr="004178F2">
              <w:rPr>
                <w:color w:val="auto"/>
                <w:sz w:val="20"/>
                <w:szCs w:val="20"/>
              </w:rPr>
              <w:t>Regolamento (UE, EURATOM) 2020/2093 del Consiglio, del 17 dicembre 2020, che stabilisce il quadro finanziario pluriennale per il periodo 2021-2027</w:t>
            </w:r>
          </w:p>
        </w:tc>
      </w:tr>
      <w:tr w:rsidRPr="007362EA" w:rsidR="007362EA" w:rsidTr="35CD470B" w14:paraId="0D69A594" w14:textId="77777777">
        <w:trPr>
          <w:trHeight w:val="811"/>
        </w:trPr>
        <w:tc>
          <w:tcPr>
            <w:tcW w:w="2816" w:type="dxa"/>
            <w:vAlign w:val="center"/>
          </w:tcPr>
          <w:p w:rsidRPr="004178F2" w:rsidR="007362EA" w:rsidP="0071643C" w:rsidRDefault="007362EA" w14:paraId="4A11923A"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Regolamento (CE) n. 1059/2003</w:t>
            </w:r>
          </w:p>
        </w:tc>
        <w:tc>
          <w:tcPr>
            <w:tcW w:w="6163" w:type="dxa"/>
            <w:vAlign w:val="center"/>
          </w:tcPr>
          <w:p w:rsidRPr="004178F2" w:rsidR="007362EA" w:rsidP="0071643C" w:rsidRDefault="007362EA" w14:paraId="319071C7" w14:textId="1F422C38">
            <w:pPr>
              <w:pStyle w:val="Default"/>
              <w:rPr>
                <w:color w:val="auto"/>
                <w:sz w:val="20"/>
                <w:szCs w:val="20"/>
              </w:rPr>
            </w:pPr>
            <w:r w:rsidRPr="004178F2">
              <w:rPr>
                <w:color w:val="auto"/>
                <w:sz w:val="20"/>
                <w:szCs w:val="20"/>
              </w:rPr>
              <w:t xml:space="preserve">Regolamento (CE) n. 1059/2003 del Parlamento europeo e del Consiglio, del 26 maggio 2003, relativo all’istituzione di una classificazione comune delle unità territoriali per la statistica (NUTS) </w:t>
            </w:r>
          </w:p>
        </w:tc>
      </w:tr>
      <w:tr w:rsidRPr="007362EA" w:rsidR="007362EA" w:rsidTr="35CD470B" w14:paraId="0418A459" w14:textId="77777777">
        <w:trPr>
          <w:trHeight w:val="1017"/>
        </w:trPr>
        <w:tc>
          <w:tcPr>
            <w:tcW w:w="2816" w:type="dxa"/>
            <w:vAlign w:val="center"/>
          </w:tcPr>
          <w:p w:rsidRPr="004178F2" w:rsidR="007362EA" w:rsidP="0071643C" w:rsidRDefault="007362EA" w14:paraId="2901E0C7"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Regolamento (UE) 2016/2066</w:t>
            </w:r>
          </w:p>
        </w:tc>
        <w:tc>
          <w:tcPr>
            <w:tcW w:w="6163" w:type="dxa"/>
            <w:vAlign w:val="center"/>
          </w:tcPr>
          <w:p w:rsidRPr="004178F2" w:rsidR="007362EA" w:rsidP="0071643C" w:rsidRDefault="007362EA" w14:paraId="48190D1B" w14:textId="77777777">
            <w:pPr>
              <w:pStyle w:val="Default"/>
              <w:rPr>
                <w:color w:val="auto"/>
                <w:sz w:val="20"/>
                <w:szCs w:val="20"/>
              </w:rPr>
            </w:pPr>
            <w:r w:rsidRPr="004178F2">
              <w:rPr>
                <w:color w:val="auto"/>
                <w:sz w:val="20"/>
                <w:szCs w:val="20"/>
              </w:rPr>
              <w:t xml:space="preserve">Regolamento (UE) 2016/2066 della Commissione, del 21 novembre 2016, che modifica gli allegati del regolamento (CE) n. 1059/2003 del Parlamento europeo e del Consiglio relativo all’istituzione di una classificazione comune delle unità territoriali per la statistica (NUTS) </w:t>
            </w:r>
          </w:p>
        </w:tc>
      </w:tr>
      <w:tr w:rsidRPr="007362EA" w:rsidR="007362EA" w:rsidTr="35CD470B" w14:paraId="2C13D441" w14:textId="77777777">
        <w:trPr>
          <w:trHeight w:val="2269"/>
        </w:trPr>
        <w:tc>
          <w:tcPr>
            <w:tcW w:w="2816" w:type="dxa"/>
            <w:vAlign w:val="center"/>
          </w:tcPr>
          <w:p w:rsidRPr="004178F2" w:rsidR="007362EA" w:rsidP="0071643C" w:rsidRDefault="007362EA" w14:paraId="40658E26" w14:textId="77777777">
            <w:pPr>
              <w:kinsoku w:val="0"/>
              <w:overflowPunct w:val="0"/>
              <w:autoSpaceDE w:val="0"/>
              <w:autoSpaceDN w:val="0"/>
              <w:adjustRightInd w:val="0"/>
              <w:spacing w:before="97"/>
              <w:ind w:left="89"/>
              <w:rPr>
                <w:rFonts w:ascii="Calibri" w:hAnsi="Calibri" w:cs="Calibri"/>
                <w:b/>
                <w:bCs/>
                <w:color w:val="0FACCF"/>
                <w:sz w:val="20"/>
                <w:szCs w:val="20"/>
              </w:rPr>
            </w:pPr>
            <w:r w:rsidRPr="004178F2">
              <w:rPr>
                <w:rFonts w:ascii="Calibri" w:hAnsi="Calibri" w:cs="Calibri"/>
                <w:b/>
                <w:bCs/>
                <w:color w:val="0070C0"/>
                <w:sz w:val="20"/>
                <w:szCs w:val="20"/>
              </w:rPr>
              <w:t>RDC o Reg. (UE) 2021/1060</w:t>
            </w:r>
          </w:p>
        </w:tc>
        <w:tc>
          <w:tcPr>
            <w:tcW w:w="2816" w:type="dxa"/>
            <w:vAlign w:val="center"/>
          </w:tcPr>
          <w:p w:rsidRPr="00580AC1" w:rsidR="007362EA" w:rsidP="00EF0B2C" w:rsidRDefault="007362EA" w14:paraId="62EF7397" w14:textId="77777777">
            <w:pPr>
              <w:kinsoku w:val="0"/>
              <w:overflowPunct w:val="0"/>
              <w:autoSpaceDE w:val="0"/>
              <w:autoSpaceDN w:val="0"/>
              <w:adjustRightInd w:val="0"/>
              <w:spacing w:before="97"/>
              <w:ind w:right="74"/>
              <w:rPr>
                <w:rFonts w:ascii="Calibri" w:hAnsi="Calibri" w:cs="Calibri"/>
                <w:sz w:val="20"/>
                <w:szCs w:val="20"/>
              </w:rPr>
            </w:pPr>
            <w:r w:rsidRPr="004178F2">
              <w:rPr>
                <w:rFonts w:ascii="Calibri" w:hAnsi="Calibri" w:cs="Calibri"/>
                <w:sz w:val="20"/>
                <w:szCs w:val="20"/>
              </w:rPr>
              <w:t>Regolamento (UE) 2021/1060 del Parlamento europeo e del Consiglio del 24 giugno 2021 recante le disposizioni comuni applicabili al Fondo europeo di sviluppo regionale, al Fondo sociale europeo Plus, al Fondo di coesione, al Fondo per una transizione giusta, al Fondo europeo per gli affari marittimi, la pesca e l’acquacoltura, e le regole finanziarie applicabili a tali fondi e al Fondo Asilo, migrazione e integrazione, al Fondo Sicurezza interna e allo Strumento di sostegno finanziario per la gestione delle</w:t>
            </w:r>
            <w:r w:rsidRPr="007362EA">
              <w:t xml:space="preserve"> </w:t>
            </w:r>
            <w:r w:rsidRPr="004178F2">
              <w:rPr>
                <w:rFonts w:ascii="Calibri" w:hAnsi="Calibri" w:cs="Calibri"/>
                <w:sz w:val="20"/>
                <w:szCs w:val="20"/>
              </w:rPr>
              <w:t>frontiere e la politica dei visti</w:t>
            </w:r>
          </w:p>
        </w:tc>
      </w:tr>
      <w:tr w:rsidRPr="007362EA" w:rsidR="007362EA" w:rsidTr="35CD470B" w14:paraId="51887232" w14:textId="77777777">
        <w:trPr>
          <w:trHeight w:val="889"/>
        </w:trPr>
        <w:tc>
          <w:tcPr>
            <w:tcW w:w="2816" w:type="dxa"/>
            <w:vAlign w:val="center"/>
          </w:tcPr>
          <w:p w:rsidRPr="004178F2" w:rsidR="007362EA" w:rsidP="0071643C" w:rsidRDefault="007362EA" w14:paraId="0FC28E45" w14:textId="77777777">
            <w:pPr>
              <w:kinsoku w:val="0"/>
              <w:overflowPunct w:val="0"/>
              <w:autoSpaceDE w:val="0"/>
              <w:autoSpaceDN w:val="0"/>
              <w:adjustRightInd w:val="0"/>
              <w:spacing w:before="100"/>
              <w:ind w:left="89"/>
              <w:rPr>
                <w:rFonts w:ascii="Calibri" w:hAnsi="Calibri" w:cs="Calibri"/>
                <w:b/>
                <w:bCs/>
                <w:color w:val="0FACCF"/>
                <w:sz w:val="20"/>
                <w:szCs w:val="20"/>
              </w:rPr>
            </w:pPr>
            <w:r w:rsidRPr="004178F2">
              <w:rPr>
                <w:rFonts w:ascii="Calibri" w:hAnsi="Calibri" w:cs="Calibri"/>
                <w:b/>
                <w:bCs/>
                <w:color w:val="0070C0"/>
                <w:sz w:val="20"/>
                <w:szCs w:val="20"/>
              </w:rPr>
              <w:t>Reg. (UE) 2021/1058</w:t>
            </w:r>
          </w:p>
        </w:tc>
        <w:tc>
          <w:tcPr>
            <w:tcW w:w="6163" w:type="dxa"/>
            <w:vAlign w:val="center"/>
          </w:tcPr>
          <w:p w:rsidRPr="004178F2" w:rsidR="007362EA" w:rsidP="00EF0B2C" w:rsidRDefault="007362EA" w14:paraId="35D89993" w14:textId="77777777">
            <w:pPr>
              <w:kinsoku w:val="0"/>
              <w:overflowPunct w:val="0"/>
              <w:autoSpaceDE w:val="0"/>
              <w:autoSpaceDN w:val="0"/>
              <w:adjustRightInd w:val="0"/>
              <w:spacing w:before="100"/>
              <w:rPr>
                <w:rFonts w:ascii="Calibri" w:hAnsi="Calibri" w:cs="Calibri"/>
                <w:sz w:val="20"/>
                <w:szCs w:val="20"/>
              </w:rPr>
            </w:pPr>
            <w:r w:rsidRPr="004178F2">
              <w:rPr>
                <w:rFonts w:ascii="Calibri" w:hAnsi="Calibri" w:cs="Calibri"/>
                <w:sz w:val="20"/>
                <w:szCs w:val="20"/>
              </w:rPr>
              <w:t>Regolamento (UE) 2021/1058 del Parlamento europeo e del Consiglio del 24 giugno 2021 relativo al Fondo europeo di sviluppo regionale e al Fondo di coesione</w:t>
            </w:r>
          </w:p>
        </w:tc>
      </w:tr>
      <w:tr w:rsidRPr="007362EA" w:rsidR="007362EA" w:rsidTr="35CD470B" w14:paraId="35390FF0" w14:textId="77777777">
        <w:trPr>
          <w:trHeight w:val="1494"/>
        </w:trPr>
        <w:tc>
          <w:tcPr>
            <w:tcW w:w="2816" w:type="dxa"/>
            <w:vAlign w:val="center"/>
          </w:tcPr>
          <w:p w:rsidRPr="004178F2" w:rsidR="007362EA" w:rsidP="0071643C" w:rsidRDefault="007362EA" w14:paraId="7A91C12D" w14:textId="77777777">
            <w:pPr>
              <w:kinsoku w:val="0"/>
              <w:overflowPunct w:val="0"/>
              <w:autoSpaceDE w:val="0"/>
              <w:autoSpaceDN w:val="0"/>
              <w:adjustRightInd w:val="0"/>
              <w:spacing w:before="100"/>
              <w:ind w:left="89" w:right="495"/>
              <w:rPr>
                <w:rFonts w:ascii="Calibri" w:hAnsi="Calibri" w:cs="Calibri"/>
                <w:b/>
                <w:bCs/>
                <w:color w:val="0FACCF"/>
                <w:sz w:val="20"/>
                <w:szCs w:val="20"/>
              </w:rPr>
            </w:pPr>
            <w:r w:rsidRPr="004178F2">
              <w:rPr>
                <w:rFonts w:ascii="Calibri" w:hAnsi="Calibri" w:cs="Calibri"/>
                <w:b/>
                <w:bCs/>
                <w:color w:val="0070C0"/>
                <w:sz w:val="20"/>
                <w:szCs w:val="20"/>
              </w:rPr>
              <w:t xml:space="preserve">Regolamento (UE </w:t>
            </w:r>
            <w:proofErr w:type="spellStart"/>
            <w:r w:rsidRPr="004178F2">
              <w:rPr>
                <w:rFonts w:ascii="Calibri" w:hAnsi="Calibri" w:cs="Calibri"/>
                <w:b/>
                <w:bCs/>
                <w:color w:val="0070C0"/>
                <w:sz w:val="20"/>
                <w:szCs w:val="20"/>
              </w:rPr>
              <w:t>Euratom</w:t>
            </w:r>
            <w:proofErr w:type="spellEnd"/>
            <w:r w:rsidRPr="004178F2">
              <w:rPr>
                <w:rFonts w:ascii="Calibri" w:hAnsi="Calibri" w:cs="Calibri"/>
                <w:b/>
                <w:bCs/>
                <w:color w:val="0070C0"/>
                <w:sz w:val="20"/>
                <w:szCs w:val="20"/>
              </w:rPr>
              <w:t>) 2018/1046</w:t>
            </w:r>
          </w:p>
        </w:tc>
        <w:tc>
          <w:tcPr>
            <w:tcW w:w="6163" w:type="dxa"/>
            <w:vAlign w:val="center"/>
          </w:tcPr>
          <w:p w:rsidRPr="004178F2" w:rsidR="007362EA" w:rsidP="00EF0B2C" w:rsidRDefault="007362EA" w14:paraId="44ACD375" w14:textId="77777777">
            <w:pPr>
              <w:kinsoku w:val="0"/>
              <w:overflowPunct w:val="0"/>
              <w:autoSpaceDE w:val="0"/>
              <w:autoSpaceDN w:val="0"/>
              <w:adjustRightInd w:val="0"/>
              <w:spacing w:before="1" w:line="276" w:lineRule="auto"/>
              <w:ind w:right="77"/>
              <w:rPr>
                <w:rFonts w:ascii="Calibri" w:hAnsi="Calibri" w:cs="Calibri"/>
                <w:sz w:val="20"/>
                <w:szCs w:val="20"/>
              </w:rPr>
            </w:pPr>
            <w:r w:rsidRPr="004178F2">
              <w:rPr>
                <w:rFonts w:ascii="Calibri" w:hAnsi="Calibri" w:cs="Calibri"/>
                <w:sz w:val="20"/>
                <w:szCs w:val="20"/>
              </w:rPr>
              <w:t xml:space="preserve">Regolamento (UE </w:t>
            </w:r>
            <w:proofErr w:type="spellStart"/>
            <w:r w:rsidRPr="004178F2">
              <w:rPr>
                <w:rFonts w:ascii="Calibri" w:hAnsi="Calibri" w:cs="Calibri"/>
                <w:sz w:val="20"/>
                <w:szCs w:val="20"/>
              </w:rPr>
              <w:t>Euratom</w:t>
            </w:r>
            <w:proofErr w:type="spellEnd"/>
            <w:r w:rsidRPr="004178F2">
              <w:rPr>
                <w:rFonts w:ascii="Calibri" w:hAnsi="Calibri" w:cs="Calibri"/>
                <w:sz w:val="20"/>
                <w:szCs w:val="20"/>
              </w:rPr>
              <w:t xml:space="preserve">) 2018/1046 del Parlamento europeo e del Consiglio, del 18 luglio 2018, che stabilisce le regole finanziarie applicabili al bilancio generale dell’Unione, che modifica, tra l’altro, il regolamento (UE) n. 1303/2013 e che abroga il regolamento (UE, </w:t>
            </w:r>
            <w:proofErr w:type="spellStart"/>
            <w:r w:rsidRPr="004178F2">
              <w:rPr>
                <w:rFonts w:ascii="Calibri" w:hAnsi="Calibri" w:cs="Calibri"/>
                <w:sz w:val="20"/>
                <w:szCs w:val="20"/>
              </w:rPr>
              <w:t>Euratom</w:t>
            </w:r>
            <w:proofErr w:type="spellEnd"/>
            <w:r w:rsidRPr="004178F2">
              <w:rPr>
                <w:rFonts w:ascii="Calibri" w:hAnsi="Calibri" w:cs="Calibri"/>
                <w:sz w:val="20"/>
                <w:szCs w:val="20"/>
              </w:rPr>
              <w:t>) 966/2012</w:t>
            </w:r>
          </w:p>
        </w:tc>
      </w:tr>
      <w:tr w:rsidR="52C5CEAB" w:rsidTr="35CD470B" w14:paraId="6EFF5C29" w14:textId="77777777">
        <w:trPr>
          <w:trHeight w:val="300"/>
        </w:trPr>
        <w:tc>
          <w:tcPr>
            <w:tcW w:w="2816" w:type="dxa"/>
            <w:vAlign w:val="center"/>
          </w:tcPr>
          <w:p w:rsidR="52C5CEAB" w:rsidP="52C5CEAB" w:rsidRDefault="52C5CEAB" w14:paraId="3303B063" w14:textId="65B32325">
            <w:pPr>
              <w:rPr>
                <w:rFonts w:ascii="Calibri" w:hAnsi="Calibri" w:cs="Calibri"/>
                <w:b/>
                <w:bCs/>
                <w:color w:val="0070C0"/>
                <w:sz w:val="20"/>
                <w:szCs w:val="20"/>
              </w:rPr>
            </w:pPr>
            <w:r w:rsidRPr="52C5CEAB">
              <w:rPr>
                <w:rFonts w:ascii="Calibri" w:hAnsi="Calibri" w:cs="Calibri"/>
                <w:b/>
                <w:bCs/>
                <w:color w:val="0070C0"/>
                <w:sz w:val="20"/>
                <w:szCs w:val="20"/>
              </w:rPr>
              <w:t xml:space="preserve">Regolamento (UE, </w:t>
            </w:r>
            <w:proofErr w:type="spellStart"/>
            <w:r w:rsidRPr="52C5CEAB">
              <w:rPr>
                <w:rFonts w:ascii="Calibri" w:hAnsi="Calibri" w:cs="Calibri"/>
                <w:b/>
                <w:bCs/>
                <w:color w:val="0070C0"/>
                <w:sz w:val="20"/>
                <w:szCs w:val="20"/>
              </w:rPr>
              <w:t>Euratom</w:t>
            </w:r>
            <w:proofErr w:type="spellEnd"/>
            <w:r w:rsidRPr="52C5CEAB">
              <w:rPr>
                <w:rFonts w:ascii="Calibri" w:hAnsi="Calibri" w:cs="Calibri"/>
                <w:b/>
                <w:bCs/>
                <w:color w:val="0070C0"/>
                <w:sz w:val="20"/>
                <w:szCs w:val="20"/>
              </w:rPr>
              <w:t>) 2022/2434</w:t>
            </w:r>
          </w:p>
        </w:tc>
        <w:tc>
          <w:tcPr>
            <w:tcW w:w="6163" w:type="dxa"/>
            <w:vAlign w:val="center"/>
          </w:tcPr>
          <w:p w:rsidR="52C5CEAB" w:rsidP="52C5CEAB" w:rsidRDefault="52C5CEAB" w14:paraId="4756F096" w14:textId="2D263087">
            <w:pPr>
              <w:spacing w:line="276" w:lineRule="auto"/>
              <w:rPr>
                <w:rFonts w:ascii="Calibri" w:hAnsi="Calibri" w:cs="Calibri"/>
                <w:sz w:val="20"/>
                <w:szCs w:val="20"/>
              </w:rPr>
            </w:pPr>
            <w:r w:rsidRPr="52C5CEAB">
              <w:rPr>
                <w:rFonts w:ascii="Calibri" w:hAnsi="Calibri" w:cs="Calibri"/>
                <w:sz w:val="20"/>
                <w:szCs w:val="20"/>
              </w:rPr>
              <w:t xml:space="preserve">Regolamento (UE, </w:t>
            </w:r>
            <w:proofErr w:type="spellStart"/>
            <w:r w:rsidRPr="52C5CEAB">
              <w:rPr>
                <w:rFonts w:ascii="Calibri" w:hAnsi="Calibri" w:cs="Calibri"/>
                <w:sz w:val="20"/>
                <w:szCs w:val="20"/>
              </w:rPr>
              <w:t>Euratom</w:t>
            </w:r>
            <w:proofErr w:type="spellEnd"/>
            <w:r w:rsidRPr="52C5CEAB">
              <w:rPr>
                <w:rFonts w:ascii="Calibri" w:hAnsi="Calibri" w:cs="Calibri"/>
                <w:sz w:val="20"/>
                <w:szCs w:val="20"/>
              </w:rPr>
              <w:t xml:space="preserve">) 2022/2434 del Parlamento europeo e del Consiglio del 6 dicembre 2022 che modifica il regolamento (UE, </w:t>
            </w:r>
            <w:proofErr w:type="spellStart"/>
            <w:r w:rsidRPr="52C5CEAB">
              <w:rPr>
                <w:rFonts w:ascii="Calibri" w:hAnsi="Calibri" w:cs="Calibri"/>
                <w:sz w:val="20"/>
                <w:szCs w:val="20"/>
              </w:rPr>
              <w:t>Euratom</w:t>
            </w:r>
            <w:proofErr w:type="spellEnd"/>
            <w:r w:rsidRPr="52C5CEAB">
              <w:rPr>
                <w:rFonts w:ascii="Calibri" w:hAnsi="Calibri" w:cs="Calibri"/>
                <w:sz w:val="20"/>
                <w:szCs w:val="20"/>
              </w:rPr>
              <w:t>) 2018/1046 per quanto riguarda l'istituzione di una strategia di finanziamento diversificata come metodo generale di assunzione di prestiti</w:t>
            </w:r>
          </w:p>
        </w:tc>
      </w:tr>
      <w:tr w:rsidRPr="007362EA" w:rsidR="007362EA" w:rsidTr="35CD470B" w14:paraId="64F16003" w14:textId="77777777">
        <w:trPr>
          <w:trHeight w:val="1402"/>
        </w:trPr>
        <w:tc>
          <w:tcPr>
            <w:tcW w:w="2816" w:type="dxa"/>
            <w:vAlign w:val="center"/>
          </w:tcPr>
          <w:p w:rsidRPr="004178F2" w:rsidR="007362EA" w:rsidP="0071643C" w:rsidRDefault="007362EA" w14:paraId="69253B42" w14:textId="77777777">
            <w:pPr>
              <w:kinsoku w:val="0"/>
              <w:overflowPunct w:val="0"/>
              <w:autoSpaceDE w:val="0"/>
              <w:autoSpaceDN w:val="0"/>
              <w:adjustRightInd w:val="0"/>
              <w:spacing w:before="100"/>
              <w:ind w:left="89" w:right="495"/>
              <w:rPr>
                <w:rFonts w:ascii="Calibri" w:hAnsi="Calibri" w:cs="Calibri"/>
                <w:b/>
                <w:bCs/>
                <w:color w:val="0070C0"/>
                <w:sz w:val="20"/>
                <w:szCs w:val="20"/>
              </w:rPr>
            </w:pPr>
            <w:r w:rsidRPr="004178F2">
              <w:rPr>
                <w:rFonts w:ascii="Calibri" w:hAnsi="Calibri" w:cs="Calibri"/>
                <w:b/>
                <w:bCs/>
                <w:color w:val="0070C0"/>
                <w:sz w:val="20"/>
                <w:szCs w:val="20"/>
              </w:rPr>
              <w:t>Regolamento (UE) 2016/679</w:t>
            </w:r>
          </w:p>
        </w:tc>
        <w:tc>
          <w:tcPr>
            <w:tcW w:w="6163" w:type="dxa"/>
            <w:vAlign w:val="center"/>
          </w:tcPr>
          <w:p w:rsidRPr="004178F2" w:rsidR="007362EA" w:rsidP="00EF0B2C" w:rsidRDefault="007362EA" w14:paraId="545F4158" w14:textId="77777777">
            <w:pPr>
              <w:kinsoku w:val="0"/>
              <w:overflowPunct w:val="0"/>
              <w:autoSpaceDE w:val="0"/>
              <w:autoSpaceDN w:val="0"/>
              <w:adjustRightInd w:val="0"/>
              <w:spacing w:before="1" w:line="276" w:lineRule="auto"/>
              <w:ind w:right="77"/>
              <w:rPr>
                <w:rFonts w:ascii="Calibri" w:hAnsi="Calibri" w:cs="Calibri"/>
                <w:sz w:val="20"/>
                <w:szCs w:val="20"/>
              </w:rPr>
            </w:pPr>
            <w:r w:rsidRPr="004178F2">
              <w:rPr>
                <w:rFonts w:ascii="Calibri" w:hAnsi="Calibri" w:cs="Calibri"/>
                <w:sz w:val="20"/>
                <w:szCs w:val="20"/>
              </w:rPr>
              <w:t>Regolamento (UE) 2016/679 del Parlamento Europeo e del Consiglio del 27 aprile 2016 relativo alla protezione delle persone fisiche con riguardo al trattamento dei dati personali, nonché alla</w:t>
            </w:r>
          </w:p>
          <w:p w:rsidRPr="004178F2" w:rsidR="007362EA" w:rsidP="00EF0B2C" w:rsidRDefault="007362EA" w14:paraId="655ABC29" w14:textId="77777777">
            <w:pPr>
              <w:kinsoku w:val="0"/>
              <w:overflowPunct w:val="0"/>
              <w:autoSpaceDE w:val="0"/>
              <w:autoSpaceDN w:val="0"/>
              <w:adjustRightInd w:val="0"/>
              <w:spacing w:before="1" w:line="276" w:lineRule="auto"/>
              <w:ind w:right="77"/>
              <w:rPr>
                <w:rFonts w:ascii="Calibri" w:hAnsi="Calibri" w:cs="Calibri"/>
                <w:sz w:val="20"/>
                <w:szCs w:val="20"/>
              </w:rPr>
            </w:pPr>
            <w:r w:rsidRPr="004178F2">
              <w:rPr>
                <w:rFonts w:ascii="Calibri" w:hAnsi="Calibri" w:cs="Calibri"/>
                <w:sz w:val="20"/>
                <w:szCs w:val="20"/>
              </w:rPr>
              <w:t>libera circolazione di tali dati e che abroga la direttiva 95/46/CE (regolamento generale sulla protezione dei dati)</w:t>
            </w:r>
          </w:p>
        </w:tc>
      </w:tr>
      <w:tr w:rsidR="35CD470B" w:rsidTr="35CD470B" w14:paraId="3834470F" w14:textId="77777777">
        <w:trPr>
          <w:trHeight w:val="300"/>
        </w:trPr>
        <w:tc>
          <w:tcPr>
            <w:tcW w:w="2816" w:type="dxa"/>
            <w:vAlign w:val="center"/>
          </w:tcPr>
          <w:p w:rsidR="35CD470B" w:rsidP="35CD470B" w:rsidRDefault="35CD470B" w14:paraId="44E64C3E" w14:textId="3B8614A3">
            <w:pPr>
              <w:rPr>
                <w:rFonts w:ascii="Aptos" w:hAnsi="Aptos" w:eastAsia="Aptos" w:cs="Aptos"/>
                <w:color w:val="0070C0"/>
                <w:sz w:val="20"/>
                <w:szCs w:val="20"/>
              </w:rPr>
            </w:pPr>
            <w:r w:rsidRPr="00D55E00">
              <w:rPr>
                <w:rFonts w:ascii="Calibri" w:hAnsi="Calibri" w:cs="Calibri"/>
                <w:b/>
                <w:bCs/>
                <w:color w:val="0070C0"/>
                <w:sz w:val="20"/>
                <w:szCs w:val="20"/>
              </w:rPr>
              <w:t>Regolamento (UE) 2024/795</w:t>
            </w:r>
          </w:p>
        </w:tc>
        <w:tc>
          <w:tcPr>
            <w:tcW w:w="6163" w:type="dxa"/>
            <w:vAlign w:val="center"/>
          </w:tcPr>
          <w:p w:rsidR="35CD470B" w:rsidP="00EF0B2C" w:rsidRDefault="35CD470B" w14:paraId="73AC5BAC" w14:textId="410800CB">
            <w:pPr>
              <w:kinsoku w:val="0"/>
              <w:overflowPunct w:val="0"/>
              <w:autoSpaceDE w:val="0"/>
              <w:autoSpaceDN w:val="0"/>
              <w:adjustRightInd w:val="0"/>
              <w:spacing w:before="1" w:line="276" w:lineRule="auto"/>
              <w:ind w:right="77"/>
              <w:rPr>
                <w:rFonts w:ascii="Aptos" w:hAnsi="Aptos" w:eastAsia="Aptos" w:cs="Aptos"/>
                <w:color w:val="000000" w:themeColor="text1"/>
                <w:sz w:val="20"/>
                <w:szCs w:val="20"/>
              </w:rPr>
            </w:pPr>
            <w:r w:rsidRPr="00D55E00">
              <w:rPr>
                <w:rFonts w:ascii="Calibri" w:hAnsi="Calibri" w:cs="Calibri"/>
                <w:sz w:val="20"/>
                <w:szCs w:val="20"/>
              </w:rPr>
              <w:t>Regolamento (UE) 2024/795 del Parlamento europeo e del Consiglio, del 29 febbraio 2024, che istituisce la piattaforma per le tecnologie strategiche per l'Europa (STEP) e modifica la direttiva 2003/87/CE e i regolamenti (UE) 2021/1058, (UE) 2021/1056, (UE) 2021/1057, (UE) n. 1303/2013, (UE) n. 223/2014, (UE) 2021/1060, (UE) 2021/523, (UE) 2021/695, (UE) 2021/697 e (UE) 2021/241</w:t>
            </w:r>
          </w:p>
        </w:tc>
      </w:tr>
      <w:tr w:rsidRPr="007362EA" w:rsidR="007362EA" w:rsidTr="35CD470B" w14:paraId="62E38ADB" w14:textId="77777777">
        <w:trPr>
          <w:trHeight w:val="650"/>
        </w:trPr>
        <w:tc>
          <w:tcPr>
            <w:tcW w:w="2816" w:type="dxa"/>
            <w:vAlign w:val="center"/>
          </w:tcPr>
          <w:p w:rsidRPr="004178F2" w:rsidR="007362EA" w:rsidP="0071643C" w:rsidRDefault="007362EA" w14:paraId="1AFD3B3E" w14:textId="77777777">
            <w:pPr>
              <w:kinsoku w:val="0"/>
              <w:overflowPunct w:val="0"/>
              <w:autoSpaceDE w:val="0"/>
              <w:autoSpaceDN w:val="0"/>
              <w:adjustRightInd w:val="0"/>
              <w:spacing w:before="100"/>
              <w:ind w:left="89" w:right="495"/>
              <w:rPr>
                <w:rFonts w:ascii="Calibri" w:hAnsi="Calibri" w:cs="Calibri"/>
                <w:b/>
                <w:bCs/>
                <w:color w:val="0070C0"/>
                <w:sz w:val="20"/>
                <w:szCs w:val="20"/>
              </w:rPr>
            </w:pPr>
            <w:r w:rsidRPr="004178F2">
              <w:rPr>
                <w:rFonts w:ascii="Calibri" w:hAnsi="Calibri" w:cs="Calibri"/>
                <w:b/>
                <w:bCs/>
                <w:color w:val="0070C0"/>
                <w:sz w:val="20"/>
                <w:szCs w:val="20"/>
              </w:rPr>
              <w:t>AP</w:t>
            </w:r>
          </w:p>
        </w:tc>
        <w:tc>
          <w:tcPr>
            <w:tcW w:w="6163" w:type="dxa"/>
            <w:vAlign w:val="center"/>
          </w:tcPr>
          <w:p w:rsidRPr="004178F2" w:rsidR="007362EA" w:rsidP="00EF0B2C" w:rsidRDefault="007362EA" w14:paraId="7FD67F6E" w14:textId="77777777">
            <w:pPr>
              <w:kinsoku w:val="0"/>
              <w:overflowPunct w:val="0"/>
              <w:autoSpaceDE w:val="0"/>
              <w:autoSpaceDN w:val="0"/>
              <w:adjustRightInd w:val="0"/>
              <w:spacing w:before="1" w:line="276" w:lineRule="auto"/>
              <w:ind w:right="77"/>
              <w:rPr>
                <w:rFonts w:ascii="Calibri" w:hAnsi="Calibri" w:cs="Calibri"/>
                <w:sz w:val="20"/>
                <w:szCs w:val="20"/>
              </w:rPr>
            </w:pPr>
            <w:r w:rsidRPr="004178F2">
              <w:rPr>
                <w:rFonts w:ascii="Calibri" w:hAnsi="Calibri" w:cs="Calibri"/>
                <w:sz w:val="20"/>
                <w:szCs w:val="20"/>
              </w:rPr>
              <w:t xml:space="preserve">Accordo di Partenariato Italia (AP) 2021-2027 adottato con decisione di esecuzione della commissione </w:t>
            </w:r>
            <w:proofErr w:type="gramStart"/>
            <w:r w:rsidRPr="004178F2">
              <w:rPr>
                <w:rFonts w:ascii="Calibri" w:hAnsi="Calibri" w:cs="Calibri"/>
                <w:sz w:val="20"/>
                <w:szCs w:val="20"/>
              </w:rPr>
              <w:t>C(</w:t>
            </w:r>
            <w:proofErr w:type="gramEnd"/>
            <w:r w:rsidRPr="004178F2">
              <w:rPr>
                <w:rFonts w:ascii="Calibri" w:hAnsi="Calibri" w:cs="Calibri"/>
                <w:sz w:val="20"/>
                <w:szCs w:val="20"/>
              </w:rPr>
              <w:t>2022) 4787 del 15 luglio 2022</w:t>
            </w:r>
          </w:p>
        </w:tc>
      </w:tr>
    </w:tbl>
    <w:p w:rsidRPr="004178F2" w:rsidR="007362EA" w:rsidP="007362EA" w:rsidRDefault="007362EA" w14:paraId="4E52E2FA" w14:textId="77777777">
      <w:pPr>
        <w:rPr>
          <w:rFonts w:ascii="Calibri" w:hAnsi="Calibri" w:cs="Calibri"/>
          <w:b/>
          <w:bCs/>
          <w:color w:val="0070C0"/>
        </w:rPr>
      </w:pPr>
    </w:p>
    <w:p w:rsidRPr="00DC6DAA" w:rsidR="007362EA" w:rsidP="009C5076" w:rsidRDefault="52C5CEAB" w14:paraId="4744533E" w14:textId="409E935C">
      <w:pPr>
        <w:pStyle w:val="Heading2"/>
        <w:numPr>
          <w:ilvl w:val="1"/>
          <w:numId w:val="29"/>
        </w:numPr>
        <w:rPr>
          <w:rFonts w:ascii="Calibri" w:hAnsi="Calibri" w:cs="Calibri"/>
          <w:b/>
          <w:bCs/>
          <w:color w:val="215E99" w:themeColor="text2" w:themeTint="BF"/>
          <w:sz w:val="28"/>
          <w:szCs w:val="28"/>
        </w:rPr>
      </w:pPr>
      <w:bookmarkStart w:name="_Toc188903498" w:id="6"/>
      <w:bookmarkStart w:name="_Toc190354098" w:id="7"/>
      <w:r w:rsidRPr="52C5CEAB">
        <w:rPr>
          <w:rFonts w:ascii="Calibri" w:hAnsi="Calibri" w:cs="Calibri"/>
          <w:b/>
          <w:bCs/>
          <w:color w:val="215E99" w:themeColor="text2" w:themeTint="BF"/>
          <w:sz w:val="28"/>
          <w:szCs w:val="28"/>
        </w:rPr>
        <w:t>Normativa nazionale</w:t>
      </w:r>
      <w:bookmarkEnd w:id="6"/>
      <w:bookmarkEnd w:id="7"/>
    </w:p>
    <w:tbl>
      <w:tblPr>
        <w:tblW w:w="0" w:type="auto"/>
        <w:tblInd w:w="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2816"/>
        <w:gridCol w:w="6163"/>
      </w:tblGrid>
      <w:tr w:rsidRPr="007362EA" w:rsidR="007362EA" w:rsidTr="0071643C" w14:paraId="4EC00AA0" w14:textId="77777777">
        <w:trPr>
          <w:trHeight w:val="733"/>
        </w:trPr>
        <w:tc>
          <w:tcPr>
            <w:tcW w:w="2816" w:type="dxa"/>
            <w:vAlign w:val="center"/>
          </w:tcPr>
          <w:p w:rsidRPr="004178F2" w:rsidR="007362EA" w:rsidP="0071643C" w:rsidRDefault="007362EA" w14:paraId="233A497E" w14:textId="77777777">
            <w:pPr>
              <w:kinsoku w:val="0"/>
              <w:overflowPunct w:val="0"/>
              <w:autoSpaceDE w:val="0"/>
              <w:autoSpaceDN w:val="0"/>
              <w:adjustRightInd w:val="0"/>
              <w:spacing w:before="97"/>
              <w:ind w:left="89"/>
              <w:rPr>
                <w:rFonts w:ascii="Calibri" w:hAnsi="Calibri" w:cs="Calibri"/>
                <w:b/>
                <w:bCs/>
                <w:color w:val="0070C0"/>
                <w:sz w:val="20"/>
                <w:szCs w:val="20"/>
              </w:rPr>
            </w:pPr>
            <w:proofErr w:type="gramStart"/>
            <w:r w:rsidRPr="004178F2">
              <w:rPr>
                <w:rFonts w:ascii="Calibri" w:hAnsi="Calibri" w:cs="Calibri"/>
                <w:b/>
                <w:bCs/>
                <w:color w:val="0070C0"/>
                <w:sz w:val="20"/>
                <w:szCs w:val="20"/>
              </w:rPr>
              <w:t>Decreto legge</w:t>
            </w:r>
            <w:proofErr w:type="gramEnd"/>
            <w:r w:rsidRPr="004178F2">
              <w:rPr>
                <w:rFonts w:ascii="Calibri" w:hAnsi="Calibri" w:cs="Calibri"/>
                <w:b/>
                <w:bCs/>
                <w:color w:val="0070C0"/>
                <w:sz w:val="20"/>
                <w:szCs w:val="20"/>
              </w:rPr>
              <w:t xml:space="preserve"> 07 maggio 2024, n. 60</w:t>
            </w:r>
          </w:p>
        </w:tc>
        <w:tc>
          <w:tcPr>
            <w:tcW w:w="6163" w:type="dxa"/>
            <w:vAlign w:val="center"/>
          </w:tcPr>
          <w:p w:rsidRPr="004178F2" w:rsidR="007362EA" w:rsidP="0071643C" w:rsidRDefault="007362EA" w14:paraId="0E2223B2" w14:textId="77777777">
            <w:pPr>
              <w:pStyle w:val="Default"/>
              <w:rPr>
                <w:sz w:val="20"/>
                <w:szCs w:val="20"/>
              </w:rPr>
            </w:pPr>
            <w:proofErr w:type="gramStart"/>
            <w:r w:rsidRPr="004178F2">
              <w:rPr>
                <w:sz w:val="20"/>
                <w:szCs w:val="20"/>
              </w:rPr>
              <w:t>Decreto legge</w:t>
            </w:r>
            <w:proofErr w:type="gramEnd"/>
            <w:r w:rsidRPr="004178F2">
              <w:rPr>
                <w:sz w:val="20"/>
                <w:szCs w:val="20"/>
              </w:rPr>
              <w:t xml:space="preserve"> 07 maggio 2024, n. 60 “Ulteriori disposizioni urgenti in materia di politiche di coesione”.</w:t>
            </w:r>
          </w:p>
        </w:tc>
      </w:tr>
      <w:tr w:rsidRPr="007362EA" w:rsidR="007362EA" w:rsidTr="0071643C" w14:paraId="0DE57D72" w14:textId="77777777">
        <w:trPr>
          <w:trHeight w:val="733"/>
        </w:trPr>
        <w:tc>
          <w:tcPr>
            <w:tcW w:w="2816" w:type="dxa"/>
            <w:vAlign w:val="center"/>
          </w:tcPr>
          <w:p w:rsidRPr="004178F2" w:rsidR="007362EA" w:rsidP="0071643C" w:rsidRDefault="007362EA" w14:paraId="38648759"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Decreto 22 novembre 2023</w:t>
            </w:r>
          </w:p>
        </w:tc>
        <w:tc>
          <w:tcPr>
            <w:tcW w:w="6163" w:type="dxa"/>
            <w:vAlign w:val="center"/>
          </w:tcPr>
          <w:p w:rsidRPr="004178F2" w:rsidR="007362EA" w:rsidP="0071643C" w:rsidRDefault="007362EA" w14:paraId="03A93867" w14:textId="77777777">
            <w:pPr>
              <w:pStyle w:val="Default"/>
              <w:rPr>
                <w:color w:val="auto"/>
                <w:sz w:val="20"/>
                <w:szCs w:val="20"/>
              </w:rPr>
            </w:pPr>
            <w:r w:rsidRPr="004178F2">
              <w:rPr>
                <w:sz w:val="20"/>
                <w:szCs w:val="20"/>
              </w:rPr>
              <w:t xml:space="preserve">Decreto 22 novembre 2023 “Organizzazione interna del Dipartimento per le politiche di coesione e </w:t>
            </w:r>
            <w:r w:rsidRPr="004178F2">
              <w:rPr>
                <w:color w:val="auto"/>
                <w:sz w:val="20"/>
                <w:szCs w:val="20"/>
              </w:rPr>
              <w:t>per il sud”.</w:t>
            </w:r>
          </w:p>
        </w:tc>
      </w:tr>
      <w:tr w:rsidRPr="007362EA" w:rsidR="007362EA" w:rsidTr="0071643C" w14:paraId="759C6159" w14:textId="77777777">
        <w:trPr>
          <w:trHeight w:val="1017"/>
        </w:trPr>
        <w:tc>
          <w:tcPr>
            <w:tcW w:w="2816" w:type="dxa"/>
            <w:vAlign w:val="center"/>
          </w:tcPr>
          <w:p w:rsidRPr="004178F2" w:rsidR="007362EA" w:rsidP="0071643C" w:rsidRDefault="007362EA" w14:paraId="380A3078"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 xml:space="preserve">Delibera </w:t>
            </w:r>
            <w:proofErr w:type="spellStart"/>
            <w:r w:rsidRPr="004178F2">
              <w:rPr>
                <w:rFonts w:ascii="Calibri" w:hAnsi="Calibri" w:cs="Calibri"/>
                <w:b/>
                <w:bCs/>
                <w:color w:val="0070C0"/>
                <w:sz w:val="20"/>
                <w:szCs w:val="20"/>
              </w:rPr>
              <w:t>Cipess</w:t>
            </w:r>
            <w:proofErr w:type="spellEnd"/>
            <w:r w:rsidRPr="004178F2">
              <w:rPr>
                <w:rFonts w:ascii="Calibri" w:hAnsi="Calibri" w:cs="Calibri"/>
                <w:b/>
                <w:bCs/>
                <w:color w:val="0070C0"/>
                <w:sz w:val="20"/>
                <w:szCs w:val="20"/>
              </w:rPr>
              <w:t xml:space="preserve"> n. 78/2021 del 22 dicembre 2021</w:t>
            </w:r>
          </w:p>
        </w:tc>
        <w:tc>
          <w:tcPr>
            <w:tcW w:w="6163" w:type="dxa"/>
            <w:vAlign w:val="center"/>
          </w:tcPr>
          <w:p w:rsidRPr="004178F2" w:rsidR="007362EA" w:rsidP="0071643C" w:rsidRDefault="007362EA" w14:paraId="79F22BF4" w14:textId="77777777">
            <w:pPr>
              <w:pStyle w:val="Default"/>
              <w:rPr>
                <w:sz w:val="20"/>
                <w:szCs w:val="20"/>
              </w:rPr>
            </w:pPr>
            <w:r w:rsidRPr="004178F2">
              <w:rPr>
                <w:sz w:val="20"/>
                <w:szCs w:val="20"/>
              </w:rPr>
              <w:t xml:space="preserve">Delibera </w:t>
            </w:r>
            <w:proofErr w:type="spellStart"/>
            <w:r w:rsidRPr="004178F2">
              <w:rPr>
                <w:sz w:val="20"/>
                <w:szCs w:val="20"/>
              </w:rPr>
              <w:t>Cipess</w:t>
            </w:r>
            <w:proofErr w:type="spellEnd"/>
            <w:r w:rsidRPr="004178F2">
              <w:rPr>
                <w:sz w:val="20"/>
                <w:szCs w:val="20"/>
              </w:rPr>
              <w:t xml:space="preserve"> n. 78/2021 del 22 dicembre 2021 Programmazione della politica di coesione 2021-2027 - Approvazione della proposta di accordo di partenariato 2021-2027 e definizione dei criteri di</w:t>
            </w:r>
          </w:p>
          <w:p w:rsidRPr="004178F2" w:rsidR="007362EA" w:rsidP="0071643C" w:rsidRDefault="007362EA" w14:paraId="5A8D30F7" w14:textId="77777777">
            <w:pPr>
              <w:pStyle w:val="Default"/>
              <w:rPr>
                <w:color w:val="auto"/>
                <w:sz w:val="20"/>
                <w:szCs w:val="20"/>
              </w:rPr>
            </w:pPr>
            <w:r w:rsidRPr="004178F2">
              <w:rPr>
                <w:sz w:val="20"/>
                <w:szCs w:val="20"/>
              </w:rPr>
              <w:t>cofinanziamento pubblico nazionale dei programmi europei per il ciclo di programmazione 2021-</w:t>
            </w:r>
            <w:r w:rsidRPr="004178F2">
              <w:rPr>
                <w:color w:val="auto"/>
                <w:sz w:val="20"/>
                <w:szCs w:val="20"/>
              </w:rPr>
              <w:t>2027</w:t>
            </w:r>
          </w:p>
        </w:tc>
      </w:tr>
      <w:tr w:rsidRPr="007362EA" w:rsidR="007362EA" w:rsidTr="0071643C" w14:paraId="6CE344B9" w14:textId="77777777">
        <w:trPr>
          <w:trHeight w:val="1338"/>
        </w:trPr>
        <w:tc>
          <w:tcPr>
            <w:tcW w:w="2816" w:type="dxa"/>
            <w:vAlign w:val="center"/>
          </w:tcPr>
          <w:p w:rsidRPr="004178F2" w:rsidR="007362EA" w:rsidP="0071643C" w:rsidRDefault="007362EA" w14:paraId="0B4F8993" w14:textId="77777777">
            <w:pPr>
              <w:kinsoku w:val="0"/>
              <w:overflowPunct w:val="0"/>
              <w:autoSpaceDE w:val="0"/>
              <w:autoSpaceDN w:val="0"/>
              <w:adjustRightInd w:val="0"/>
              <w:spacing w:before="97"/>
              <w:ind w:left="89"/>
              <w:rPr>
                <w:rFonts w:ascii="Calibri" w:hAnsi="Calibri" w:cs="Calibri"/>
                <w:b/>
                <w:bCs/>
                <w:color w:val="0FACCF"/>
                <w:sz w:val="20"/>
                <w:szCs w:val="20"/>
              </w:rPr>
            </w:pPr>
            <w:r w:rsidRPr="004178F2">
              <w:rPr>
                <w:rFonts w:ascii="Calibri" w:hAnsi="Calibri" w:cs="Calibri"/>
                <w:b/>
                <w:bCs/>
                <w:color w:val="0070C0"/>
                <w:sz w:val="20"/>
                <w:szCs w:val="20"/>
              </w:rPr>
              <w:t>DPR 5 febbraio 2018 n. 22</w:t>
            </w:r>
          </w:p>
        </w:tc>
        <w:tc>
          <w:tcPr>
            <w:tcW w:w="6163" w:type="dxa"/>
            <w:vAlign w:val="center"/>
          </w:tcPr>
          <w:p w:rsidRPr="004178F2" w:rsidR="007362EA" w:rsidP="00EF0B2C" w:rsidRDefault="007362EA" w14:paraId="055D71CC" w14:textId="77777777">
            <w:pPr>
              <w:kinsoku w:val="0"/>
              <w:overflowPunct w:val="0"/>
              <w:autoSpaceDE w:val="0"/>
              <w:autoSpaceDN w:val="0"/>
              <w:adjustRightInd w:val="0"/>
              <w:spacing w:before="97"/>
              <w:ind w:right="74"/>
              <w:rPr>
                <w:rFonts w:ascii="Calibri" w:hAnsi="Calibri" w:cs="Calibri"/>
                <w:sz w:val="20"/>
                <w:szCs w:val="20"/>
              </w:rPr>
            </w:pPr>
            <w:r w:rsidRPr="004178F2">
              <w:rPr>
                <w:rFonts w:ascii="Calibri" w:hAnsi="Calibri" w:cs="Calibri"/>
                <w:sz w:val="20"/>
                <w:szCs w:val="20"/>
              </w:rPr>
              <w:t>Regolamento statale di esecuzione: DPR 5 febbraio 2018 n. 22 - Regolamento recante i criteri sull’ammissibilità delle spese per i programmi cofinanziati dai Fondi strutturali di investimento europei (SIE) per il periodo di programmazione 2014/2020 GURI Serie speciale n.71 26/03/2018</w:t>
            </w:r>
          </w:p>
        </w:tc>
      </w:tr>
    </w:tbl>
    <w:p w:rsidRPr="004D1AC9" w:rsidR="007362EA" w:rsidP="009C5076" w:rsidRDefault="52C5CEAB" w14:paraId="05CF9F64" w14:textId="4CA3AACB">
      <w:pPr>
        <w:pStyle w:val="Heading2"/>
        <w:numPr>
          <w:ilvl w:val="1"/>
          <w:numId w:val="29"/>
        </w:numPr>
        <w:rPr>
          <w:rFonts w:ascii="Calibri" w:hAnsi="Calibri" w:cs="Calibri"/>
          <w:b/>
          <w:bCs/>
          <w:color w:val="215E99" w:themeColor="text2" w:themeTint="BF"/>
          <w:sz w:val="28"/>
          <w:szCs w:val="28"/>
        </w:rPr>
      </w:pPr>
      <w:bookmarkStart w:name="_Toc188903499" w:id="8"/>
      <w:bookmarkStart w:name="_Toc190354099" w:id="9"/>
      <w:r w:rsidRPr="52C5CEAB">
        <w:rPr>
          <w:rFonts w:ascii="Calibri" w:hAnsi="Calibri" w:cs="Calibri"/>
          <w:b/>
          <w:bCs/>
          <w:color w:val="215E99" w:themeColor="text2" w:themeTint="BF"/>
          <w:sz w:val="28"/>
          <w:szCs w:val="28"/>
        </w:rPr>
        <w:t>Appalti pubblici</w:t>
      </w:r>
      <w:bookmarkEnd w:id="8"/>
      <w:bookmarkEnd w:id="9"/>
    </w:p>
    <w:p w:rsidRPr="004178F2" w:rsidR="007362EA" w:rsidP="007362EA" w:rsidRDefault="007362EA" w14:paraId="09226BFD" w14:textId="77777777">
      <w:pPr>
        <w:spacing w:after="120"/>
        <w:ind w:left="360"/>
        <w:rPr>
          <w:rFonts w:ascii="Calibri" w:hAnsi="Calibri" w:cs="Calibri"/>
          <w:i/>
          <w:iCs/>
          <w:color w:val="0070C0"/>
          <w:u w:val="single"/>
        </w:rPr>
      </w:pPr>
      <w:r w:rsidRPr="004178F2">
        <w:rPr>
          <w:rFonts w:ascii="Calibri" w:hAnsi="Calibri" w:cs="Calibri"/>
          <w:i/>
          <w:iCs/>
          <w:color w:val="0070C0"/>
          <w:u w:val="single"/>
        </w:rPr>
        <w:t>Riferimenti europei</w:t>
      </w:r>
    </w:p>
    <w:tbl>
      <w:tblPr>
        <w:tblW w:w="0" w:type="auto"/>
        <w:tblInd w:w="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2816"/>
        <w:gridCol w:w="6163"/>
      </w:tblGrid>
      <w:tr w:rsidRPr="007362EA" w:rsidR="007362EA" w:rsidTr="0071643C" w14:paraId="0933E72D" w14:textId="77777777">
        <w:trPr>
          <w:trHeight w:val="1018"/>
        </w:trPr>
        <w:tc>
          <w:tcPr>
            <w:tcW w:w="2816" w:type="dxa"/>
            <w:vAlign w:val="center"/>
          </w:tcPr>
          <w:p w:rsidRPr="004178F2" w:rsidR="007362EA" w:rsidP="0071643C" w:rsidRDefault="007362EA" w14:paraId="08958648"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Regolamento delegato (UE) 2023/2495</w:t>
            </w:r>
          </w:p>
        </w:tc>
        <w:tc>
          <w:tcPr>
            <w:tcW w:w="6163" w:type="dxa"/>
            <w:vAlign w:val="center"/>
          </w:tcPr>
          <w:p w:rsidRPr="004178F2" w:rsidR="007362EA" w:rsidP="0071643C" w:rsidRDefault="007362EA" w14:paraId="6B4D2290" w14:textId="77777777">
            <w:pPr>
              <w:pStyle w:val="Default"/>
              <w:rPr>
                <w:sz w:val="20"/>
                <w:szCs w:val="20"/>
              </w:rPr>
            </w:pPr>
            <w:r w:rsidRPr="004178F2">
              <w:rPr>
                <w:sz w:val="20"/>
                <w:szCs w:val="20"/>
              </w:rPr>
              <w:t>Regolamento delegato (UE) 2023/2495 della Commissione del 15 novembre 2023 che modifica la direttiva 2014/24/UE del Parlamento europeo e del Consiglio per quanto riguarda le soglie degli appalti pubblici di forniture, servizi e lavori e dei concorsi di progettazione</w:t>
            </w:r>
          </w:p>
        </w:tc>
      </w:tr>
      <w:tr w:rsidRPr="007362EA" w:rsidR="007362EA" w:rsidTr="0071643C" w14:paraId="0863BA34" w14:textId="77777777">
        <w:trPr>
          <w:trHeight w:val="733"/>
        </w:trPr>
        <w:tc>
          <w:tcPr>
            <w:tcW w:w="2816" w:type="dxa"/>
            <w:vAlign w:val="center"/>
          </w:tcPr>
          <w:p w:rsidRPr="004178F2" w:rsidR="007362EA" w:rsidP="0071643C" w:rsidRDefault="007362EA" w14:paraId="27385C60"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Direttiva 2014/25/UE</w:t>
            </w:r>
          </w:p>
        </w:tc>
        <w:tc>
          <w:tcPr>
            <w:tcW w:w="6163" w:type="dxa"/>
            <w:vAlign w:val="center"/>
          </w:tcPr>
          <w:p w:rsidRPr="004178F2" w:rsidR="007362EA" w:rsidP="0071643C" w:rsidRDefault="007362EA" w14:paraId="383C9D1A" w14:textId="77777777">
            <w:pPr>
              <w:pStyle w:val="Default"/>
              <w:rPr>
                <w:sz w:val="20"/>
                <w:szCs w:val="20"/>
              </w:rPr>
            </w:pPr>
            <w:r w:rsidRPr="004178F2">
              <w:rPr>
                <w:sz w:val="20"/>
                <w:szCs w:val="20"/>
              </w:rPr>
              <w:t>Direttiva 2014/25/UE del 26 febbraio 2014 sulle procedure d'appalto degli enti erogatori nei settori dell'acqua, dell'energia, dei trasporti e dei servizi postali e che abroga la direttiva 2004/17/CE</w:t>
            </w:r>
          </w:p>
        </w:tc>
      </w:tr>
      <w:tr w:rsidRPr="007362EA" w:rsidR="007362EA" w:rsidTr="0071643C" w14:paraId="08B946FC" w14:textId="77777777">
        <w:trPr>
          <w:trHeight w:val="533"/>
        </w:trPr>
        <w:tc>
          <w:tcPr>
            <w:tcW w:w="2816" w:type="dxa"/>
            <w:vAlign w:val="center"/>
          </w:tcPr>
          <w:p w:rsidRPr="004178F2" w:rsidR="007362EA" w:rsidP="0071643C" w:rsidRDefault="007362EA" w14:paraId="74EB0280"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Direttiva 2014/24/UE</w:t>
            </w:r>
          </w:p>
        </w:tc>
        <w:tc>
          <w:tcPr>
            <w:tcW w:w="6163" w:type="dxa"/>
            <w:vAlign w:val="center"/>
          </w:tcPr>
          <w:p w:rsidRPr="004178F2" w:rsidR="007362EA" w:rsidP="0071643C" w:rsidRDefault="007362EA" w14:paraId="76CBEFBE" w14:textId="77777777">
            <w:pPr>
              <w:pStyle w:val="Default"/>
              <w:rPr>
                <w:color w:val="auto"/>
                <w:sz w:val="20"/>
                <w:szCs w:val="20"/>
              </w:rPr>
            </w:pPr>
            <w:r w:rsidRPr="004178F2">
              <w:rPr>
                <w:sz w:val="20"/>
                <w:szCs w:val="20"/>
              </w:rPr>
              <w:t>Direttiva 2014/24/UE del 26 febbraio 2014 sugli appalti pubblici e che abroga la direttiva 2004/18/CE</w:t>
            </w:r>
          </w:p>
        </w:tc>
      </w:tr>
      <w:tr w:rsidRPr="007362EA" w:rsidR="007362EA" w:rsidTr="0071643C" w14:paraId="588F846E" w14:textId="77777777">
        <w:trPr>
          <w:trHeight w:val="526"/>
        </w:trPr>
        <w:tc>
          <w:tcPr>
            <w:tcW w:w="2816" w:type="dxa"/>
            <w:vAlign w:val="center"/>
          </w:tcPr>
          <w:p w:rsidRPr="004178F2" w:rsidR="007362EA" w:rsidP="0071643C" w:rsidRDefault="007362EA" w14:paraId="46E4E7DF"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Direttiva 2014/23/UE</w:t>
            </w:r>
          </w:p>
        </w:tc>
        <w:tc>
          <w:tcPr>
            <w:tcW w:w="6163" w:type="dxa"/>
            <w:vAlign w:val="center"/>
          </w:tcPr>
          <w:p w:rsidRPr="004178F2" w:rsidR="007362EA" w:rsidP="0071643C" w:rsidRDefault="007362EA" w14:paraId="56A023F0" w14:textId="77777777">
            <w:pPr>
              <w:pStyle w:val="Default"/>
              <w:rPr>
                <w:color w:val="auto"/>
                <w:sz w:val="20"/>
                <w:szCs w:val="20"/>
              </w:rPr>
            </w:pPr>
            <w:r w:rsidRPr="004178F2">
              <w:rPr>
                <w:sz w:val="20"/>
                <w:szCs w:val="20"/>
              </w:rPr>
              <w:t>Direttiva 2014/23/UE del 26 febbraio 2014 sull'aggiudicazione dei contratti di concessione</w:t>
            </w:r>
          </w:p>
        </w:tc>
      </w:tr>
      <w:tr w:rsidRPr="007362EA" w:rsidR="007362EA" w:rsidTr="0071643C" w14:paraId="1B74CBB4" w14:textId="77777777">
        <w:trPr>
          <w:trHeight w:val="1338"/>
        </w:trPr>
        <w:tc>
          <w:tcPr>
            <w:tcW w:w="2816" w:type="dxa"/>
            <w:vAlign w:val="center"/>
          </w:tcPr>
          <w:p w:rsidRPr="004178F2" w:rsidR="007362EA" w:rsidP="0071643C" w:rsidRDefault="007362EA" w14:paraId="14D84C6D" w14:textId="77777777">
            <w:pPr>
              <w:kinsoku w:val="0"/>
              <w:overflowPunct w:val="0"/>
              <w:autoSpaceDE w:val="0"/>
              <w:autoSpaceDN w:val="0"/>
              <w:adjustRightInd w:val="0"/>
              <w:spacing w:before="97"/>
              <w:ind w:left="89"/>
              <w:rPr>
                <w:rFonts w:ascii="Calibri" w:hAnsi="Calibri" w:cs="Calibri"/>
                <w:b/>
                <w:bCs/>
                <w:color w:val="0FACCF"/>
                <w:sz w:val="20"/>
                <w:szCs w:val="20"/>
              </w:rPr>
            </w:pPr>
            <w:r w:rsidRPr="004178F2">
              <w:rPr>
                <w:rFonts w:ascii="Calibri" w:hAnsi="Calibri" w:cs="Calibri"/>
                <w:b/>
                <w:bCs/>
                <w:color w:val="0070C0"/>
                <w:sz w:val="20"/>
                <w:szCs w:val="20"/>
              </w:rPr>
              <w:t>Regolamento (CE) n. 213/2008</w:t>
            </w:r>
          </w:p>
        </w:tc>
        <w:tc>
          <w:tcPr>
            <w:tcW w:w="6163" w:type="dxa"/>
            <w:vAlign w:val="center"/>
          </w:tcPr>
          <w:p w:rsidRPr="004178F2" w:rsidR="007362EA" w:rsidP="0071643C" w:rsidRDefault="007362EA" w14:paraId="48F8AA9E" w14:textId="77777777">
            <w:pPr>
              <w:pStyle w:val="Default"/>
              <w:rPr>
                <w:sz w:val="20"/>
                <w:szCs w:val="20"/>
              </w:rPr>
            </w:pPr>
            <w:r w:rsidRPr="004178F2">
              <w:rPr>
                <w:sz w:val="20"/>
                <w:szCs w:val="20"/>
              </w:rPr>
              <w:t>Regolamento (CE) n. 213/2008 della Commissione del 28 novembre 2007 recante modifica del regolamento (CE) n. 2195/2002 del Parlamento europeo e del Consiglio relativo al vocabolario comune per gli appalti pubblici (CPV) e delle direttive 2004/17/CE e 2004/18/CE del Parlamento</w:t>
            </w:r>
          </w:p>
          <w:p w:rsidRPr="004178F2" w:rsidR="007362EA" w:rsidP="0071643C" w:rsidRDefault="007362EA" w14:paraId="06B65202" w14:textId="77777777">
            <w:pPr>
              <w:pStyle w:val="Default"/>
              <w:rPr>
                <w:sz w:val="20"/>
                <w:szCs w:val="20"/>
              </w:rPr>
            </w:pPr>
            <w:r w:rsidRPr="004178F2">
              <w:rPr>
                <w:sz w:val="20"/>
                <w:szCs w:val="20"/>
              </w:rPr>
              <w:t>europeo e del Consiglio relative alle procedure per gli appalti pubblici, per quanto riguarda la revisione del CPV (in vigore dal 17-09-2008)</w:t>
            </w:r>
          </w:p>
        </w:tc>
      </w:tr>
      <w:tr w:rsidRPr="007362EA" w:rsidR="007362EA" w:rsidTr="0071643C" w14:paraId="784012AB" w14:textId="77777777">
        <w:trPr>
          <w:trHeight w:val="889"/>
        </w:trPr>
        <w:tc>
          <w:tcPr>
            <w:tcW w:w="2816" w:type="dxa"/>
            <w:vAlign w:val="center"/>
          </w:tcPr>
          <w:p w:rsidRPr="004178F2" w:rsidR="007362EA" w:rsidP="0071643C" w:rsidRDefault="007362EA" w14:paraId="6AB77BF9" w14:textId="77777777">
            <w:pPr>
              <w:kinsoku w:val="0"/>
              <w:overflowPunct w:val="0"/>
              <w:autoSpaceDE w:val="0"/>
              <w:autoSpaceDN w:val="0"/>
              <w:adjustRightInd w:val="0"/>
              <w:spacing w:before="100"/>
              <w:ind w:left="89"/>
              <w:rPr>
                <w:rFonts w:ascii="Calibri" w:hAnsi="Calibri" w:cs="Calibri"/>
                <w:b/>
                <w:bCs/>
                <w:color w:val="0FACCF"/>
                <w:sz w:val="20"/>
                <w:szCs w:val="20"/>
              </w:rPr>
            </w:pPr>
            <w:r w:rsidRPr="004178F2">
              <w:rPr>
                <w:rFonts w:ascii="Calibri" w:hAnsi="Calibri" w:cs="Calibri"/>
                <w:b/>
                <w:bCs/>
                <w:color w:val="0070C0"/>
                <w:sz w:val="20"/>
                <w:szCs w:val="20"/>
              </w:rPr>
              <w:t>Direttiva 2007/66/CE dell’11 dicembre 2007</w:t>
            </w:r>
          </w:p>
        </w:tc>
        <w:tc>
          <w:tcPr>
            <w:tcW w:w="6163" w:type="dxa"/>
            <w:vAlign w:val="center"/>
          </w:tcPr>
          <w:p w:rsidRPr="004178F2" w:rsidR="007362EA" w:rsidP="0071643C" w:rsidRDefault="007362EA" w14:paraId="1C1BF985" w14:textId="77777777">
            <w:pPr>
              <w:pStyle w:val="Default"/>
              <w:rPr>
                <w:sz w:val="20"/>
                <w:szCs w:val="20"/>
              </w:rPr>
            </w:pPr>
            <w:r w:rsidRPr="004178F2">
              <w:rPr>
                <w:sz w:val="20"/>
                <w:szCs w:val="20"/>
              </w:rPr>
              <w:t>Direttiva 2007/66/CE dell’11 dicembre 2007 che modifica le direttive 89/665/CE e 92/13/CEE del Consiglio per quanto riguarda il miglioramento dell'efficacia delle procedure di ricorso in materia d'aggiudicazione degli appalti pubblici</w:t>
            </w:r>
          </w:p>
        </w:tc>
      </w:tr>
      <w:tr w:rsidRPr="007362EA" w:rsidR="007362EA" w:rsidTr="0071643C" w14:paraId="592AEA48" w14:textId="77777777">
        <w:trPr>
          <w:trHeight w:val="983"/>
        </w:trPr>
        <w:tc>
          <w:tcPr>
            <w:tcW w:w="2816" w:type="dxa"/>
            <w:vAlign w:val="center"/>
          </w:tcPr>
          <w:p w:rsidRPr="004178F2" w:rsidR="007362EA" w:rsidP="0071643C" w:rsidRDefault="007362EA" w14:paraId="4D192288" w14:textId="77777777">
            <w:pPr>
              <w:kinsoku w:val="0"/>
              <w:overflowPunct w:val="0"/>
              <w:autoSpaceDE w:val="0"/>
              <w:autoSpaceDN w:val="0"/>
              <w:adjustRightInd w:val="0"/>
              <w:spacing w:before="100"/>
              <w:ind w:left="89"/>
              <w:rPr>
                <w:rFonts w:ascii="Calibri" w:hAnsi="Calibri" w:cs="Calibri"/>
                <w:b/>
                <w:bCs/>
                <w:color w:val="0070C0"/>
                <w:sz w:val="20"/>
                <w:szCs w:val="20"/>
              </w:rPr>
            </w:pPr>
            <w:r w:rsidRPr="004178F2">
              <w:rPr>
                <w:rFonts w:ascii="Calibri" w:hAnsi="Calibri" w:cs="Calibri"/>
                <w:b/>
                <w:bCs/>
                <w:color w:val="0070C0"/>
                <w:sz w:val="20"/>
                <w:szCs w:val="20"/>
              </w:rPr>
              <w:t>2006/C 179/02</w:t>
            </w:r>
          </w:p>
        </w:tc>
        <w:tc>
          <w:tcPr>
            <w:tcW w:w="6163" w:type="dxa"/>
            <w:vAlign w:val="center"/>
          </w:tcPr>
          <w:p w:rsidRPr="004178F2" w:rsidR="007362EA" w:rsidP="0071643C" w:rsidRDefault="007362EA" w14:paraId="584E9159" w14:textId="77777777">
            <w:pPr>
              <w:pStyle w:val="Default"/>
              <w:rPr>
                <w:sz w:val="20"/>
                <w:szCs w:val="20"/>
              </w:rPr>
            </w:pPr>
            <w:r w:rsidRPr="004178F2">
              <w:rPr>
                <w:sz w:val="20"/>
                <w:szCs w:val="20"/>
              </w:rPr>
              <w:t>Comunicazione Interpretativa della Commissione relativa al diritto comunitario applicabile alle aggiudicazioni di appalti non, o solo parzialmente, disciplinate dalle direttive «appalti pubblici» (2006/C 179/02).</w:t>
            </w:r>
          </w:p>
        </w:tc>
      </w:tr>
    </w:tbl>
    <w:p w:rsidR="007362EA" w:rsidP="007362EA" w:rsidRDefault="007362EA" w14:paraId="2D3CC0F2" w14:textId="77777777">
      <w:pPr>
        <w:spacing w:after="120"/>
        <w:rPr>
          <w:rFonts w:ascii="Calibri" w:hAnsi="Calibri" w:cs="Calibri"/>
          <w:i/>
          <w:iCs/>
          <w:color w:val="C00000"/>
        </w:rPr>
      </w:pPr>
    </w:p>
    <w:p w:rsidR="005E0A67" w:rsidP="007362EA" w:rsidRDefault="005E0A67" w14:paraId="0E6DB15B" w14:textId="1F6854C1">
      <w:pPr>
        <w:spacing w:after="120"/>
        <w:rPr>
          <w:rFonts w:ascii="Calibri" w:hAnsi="Calibri" w:cs="Calibri"/>
          <w:i/>
          <w:iCs/>
          <w:color w:val="C00000"/>
        </w:rPr>
      </w:pPr>
    </w:p>
    <w:p w:rsidR="00D55E00" w:rsidP="007362EA" w:rsidRDefault="00D55E00" w14:paraId="008844A3" w14:textId="77777777">
      <w:pPr>
        <w:spacing w:after="120"/>
        <w:rPr>
          <w:rFonts w:ascii="Calibri" w:hAnsi="Calibri" w:cs="Calibri"/>
          <w:i/>
          <w:iCs/>
          <w:color w:val="C00000"/>
        </w:rPr>
      </w:pPr>
    </w:p>
    <w:p w:rsidRPr="004178F2" w:rsidR="005E0A67" w:rsidP="007362EA" w:rsidRDefault="005E0A67" w14:paraId="3EE6E68A" w14:textId="77777777">
      <w:pPr>
        <w:spacing w:after="120"/>
        <w:rPr>
          <w:rFonts w:ascii="Calibri" w:hAnsi="Calibri" w:cs="Calibri"/>
          <w:i/>
          <w:iCs/>
          <w:color w:val="C00000"/>
        </w:rPr>
      </w:pPr>
    </w:p>
    <w:p w:rsidRPr="004178F2" w:rsidR="007362EA" w:rsidP="007362EA" w:rsidRDefault="007362EA" w14:paraId="0EC2CD32" w14:textId="77777777">
      <w:pPr>
        <w:spacing w:after="120"/>
        <w:ind w:left="708"/>
        <w:rPr>
          <w:rFonts w:ascii="Calibri" w:hAnsi="Calibri" w:cs="Calibri"/>
          <w:i/>
          <w:iCs/>
          <w:color w:val="0070C0"/>
          <w:u w:val="single"/>
        </w:rPr>
      </w:pPr>
      <w:r w:rsidRPr="004178F2">
        <w:rPr>
          <w:rFonts w:ascii="Calibri" w:hAnsi="Calibri" w:cs="Calibri"/>
          <w:i/>
          <w:iCs/>
          <w:color w:val="0070C0"/>
          <w:u w:val="single"/>
        </w:rPr>
        <w:t>Riferimenti nazionali</w:t>
      </w:r>
    </w:p>
    <w:tbl>
      <w:tblPr>
        <w:tblW w:w="0" w:type="auto"/>
        <w:tblInd w:w="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2816"/>
        <w:gridCol w:w="6163"/>
      </w:tblGrid>
      <w:tr w:rsidRPr="007362EA" w:rsidR="007362EA" w:rsidTr="3175BA12" w14:paraId="0C6A13B8" w14:textId="77777777">
        <w:trPr>
          <w:trHeight w:val="733"/>
        </w:trPr>
        <w:tc>
          <w:tcPr>
            <w:tcW w:w="2816" w:type="dxa"/>
            <w:vAlign w:val="center"/>
          </w:tcPr>
          <w:p w:rsidRPr="004178F2" w:rsidR="007362EA" w:rsidP="0071643C" w:rsidRDefault="007362EA" w14:paraId="6246C35D"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D.Lgs. 18 aprile 2016, n. 50</w:t>
            </w:r>
          </w:p>
        </w:tc>
        <w:tc>
          <w:tcPr>
            <w:tcW w:w="6163" w:type="dxa"/>
            <w:vAlign w:val="center"/>
          </w:tcPr>
          <w:p w:rsidRPr="004178F2" w:rsidR="007362EA" w:rsidP="0071643C" w:rsidRDefault="007362EA" w14:paraId="4FC1BC92" w14:textId="77777777">
            <w:pPr>
              <w:pStyle w:val="Default"/>
              <w:rPr>
                <w:sz w:val="20"/>
                <w:szCs w:val="20"/>
              </w:rPr>
            </w:pPr>
            <w:r w:rsidRPr="004178F2">
              <w:rPr>
                <w:sz w:val="20"/>
                <w:szCs w:val="20"/>
              </w:rPr>
              <w:t>D.Lgs. 18 aprile 2016, n. 50 “Attuazione delle direttive 2014/23/UE, 2014/24/UE e 2014/25/UE sull'aggiudicazione dei contratti di concessione, sugli appalti pubblici e sulle procedure d'appalto</w:t>
            </w:r>
          </w:p>
          <w:p w:rsidRPr="004178F2" w:rsidR="007362EA" w:rsidP="0071643C" w:rsidRDefault="007362EA" w14:paraId="566C1B8F" w14:textId="77777777">
            <w:pPr>
              <w:pStyle w:val="Default"/>
              <w:rPr>
                <w:color w:val="auto"/>
                <w:sz w:val="20"/>
                <w:szCs w:val="20"/>
              </w:rPr>
            </w:pPr>
            <w:r w:rsidRPr="004178F2">
              <w:rPr>
                <w:sz w:val="20"/>
                <w:szCs w:val="20"/>
              </w:rPr>
              <w:t xml:space="preserve">degli enti erogatori nei settori dell'acqua, dell'energia, dei trasporti e dei servizi postali, nonché per il </w:t>
            </w:r>
            <w:r w:rsidRPr="004178F2">
              <w:rPr>
                <w:color w:val="auto"/>
                <w:sz w:val="20"/>
                <w:szCs w:val="20"/>
              </w:rPr>
              <w:t>riordino della disciplina vigente in materia di contratti pubblici relativi a lavori, servizi e forniture”</w:t>
            </w:r>
          </w:p>
        </w:tc>
      </w:tr>
      <w:tr w:rsidRPr="007362EA" w:rsidR="007362EA" w:rsidTr="3175BA12" w14:paraId="2F52A53C" w14:textId="77777777">
        <w:trPr>
          <w:trHeight w:val="843"/>
        </w:trPr>
        <w:tc>
          <w:tcPr>
            <w:tcW w:w="2816" w:type="dxa"/>
            <w:vAlign w:val="center"/>
          </w:tcPr>
          <w:p w:rsidRPr="004178F2" w:rsidR="007362EA" w:rsidP="0071643C" w:rsidRDefault="007362EA" w14:paraId="5C833A5B"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D.Lgs. 31 marzo 2023, n. 36</w:t>
            </w:r>
          </w:p>
        </w:tc>
        <w:tc>
          <w:tcPr>
            <w:tcW w:w="6163" w:type="dxa"/>
            <w:vAlign w:val="center"/>
          </w:tcPr>
          <w:p w:rsidRPr="004178F2" w:rsidR="007362EA" w:rsidP="0071643C" w:rsidRDefault="007362EA" w14:paraId="31629DF6" w14:textId="77777777">
            <w:pPr>
              <w:pStyle w:val="Default"/>
              <w:rPr>
                <w:color w:val="auto"/>
                <w:sz w:val="20"/>
                <w:szCs w:val="20"/>
              </w:rPr>
            </w:pPr>
            <w:r w:rsidRPr="004178F2">
              <w:rPr>
                <w:sz w:val="20"/>
                <w:szCs w:val="20"/>
              </w:rPr>
              <w:t xml:space="preserve">D.Lgs. 31 marzo 2023, n. 36 “Codice dei contratti pubblici in attuazione dell'articolo 1 della legge 21 </w:t>
            </w:r>
            <w:r w:rsidRPr="004178F2">
              <w:rPr>
                <w:color w:val="auto"/>
                <w:sz w:val="20"/>
                <w:szCs w:val="20"/>
              </w:rPr>
              <w:t>giugno 2022, n. 78, recante delega al Governo in materia di contratti pubblici”</w:t>
            </w:r>
          </w:p>
        </w:tc>
      </w:tr>
      <w:tr w:rsidRPr="007362EA" w:rsidR="007362EA" w:rsidTr="3175BA12" w14:paraId="2D529BA4" w14:textId="77777777">
        <w:trPr>
          <w:trHeight w:val="1338"/>
        </w:trPr>
        <w:tc>
          <w:tcPr>
            <w:tcW w:w="2816" w:type="dxa"/>
            <w:vAlign w:val="center"/>
          </w:tcPr>
          <w:p w:rsidRPr="004178F2" w:rsidR="007362EA" w:rsidP="0071643C" w:rsidRDefault="007362EA" w14:paraId="1099B17C" w14:textId="77777777">
            <w:pPr>
              <w:kinsoku w:val="0"/>
              <w:overflowPunct w:val="0"/>
              <w:autoSpaceDE w:val="0"/>
              <w:autoSpaceDN w:val="0"/>
              <w:adjustRightInd w:val="0"/>
              <w:spacing w:before="97"/>
              <w:ind w:left="89"/>
              <w:rPr>
                <w:rFonts w:ascii="Calibri" w:hAnsi="Calibri" w:cs="Calibri"/>
                <w:b/>
                <w:bCs/>
                <w:color w:val="0FACCF"/>
                <w:sz w:val="20"/>
                <w:szCs w:val="20"/>
              </w:rPr>
            </w:pPr>
            <w:r w:rsidRPr="004178F2">
              <w:rPr>
                <w:rFonts w:ascii="Calibri" w:hAnsi="Calibri" w:cs="Calibri"/>
                <w:b/>
                <w:bCs/>
                <w:color w:val="0070C0"/>
                <w:sz w:val="20"/>
                <w:szCs w:val="20"/>
              </w:rPr>
              <w:t>Decreto legislativo 6 settembre 2011, n. 159</w:t>
            </w:r>
          </w:p>
        </w:tc>
        <w:tc>
          <w:tcPr>
            <w:tcW w:w="6163" w:type="dxa"/>
            <w:vAlign w:val="center"/>
          </w:tcPr>
          <w:p w:rsidRPr="004178F2" w:rsidR="007362EA" w:rsidP="0006638A" w:rsidRDefault="007362EA" w14:paraId="733AAED8" w14:textId="77777777">
            <w:pPr>
              <w:kinsoku w:val="0"/>
              <w:overflowPunct w:val="0"/>
              <w:autoSpaceDE w:val="0"/>
              <w:autoSpaceDN w:val="0"/>
              <w:adjustRightInd w:val="0"/>
              <w:spacing w:before="97"/>
              <w:ind w:right="74"/>
              <w:contextualSpacing/>
              <w:rPr>
                <w:rFonts w:ascii="Calibri" w:hAnsi="Calibri" w:cs="Calibri"/>
                <w:sz w:val="20"/>
                <w:szCs w:val="20"/>
              </w:rPr>
            </w:pPr>
            <w:r w:rsidRPr="004178F2">
              <w:rPr>
                <w:rFonts w:ascii="Calibri" w:hAnsi="Calibri" w:cs="Calibri"/>
                <w:sz w:val="20"/>
                <w:szCs w:val="20"/>
              </w:rPr>
              <w:t>Decreto legislativo 6 settembre 2011, n. 159 “Codice delle leggi antimafia e delle misure di prevenzione, nonché nuove disposizioni in materia di documentazione antimafia, a norma degli articoli 1 e 2 della legge 13 agosto 2010, n. 136” così come modificato dal D.L. 22 giugno 2023, n. 75</w:t>
            </w:r>
          </w:p>
        </w:tc>
      </w:tr>
      <w:tr w:rsidRPr="007362EA" w:rsidR="007362EA" w:rsidTr="3175BA12" w14:paraId="096DA5D2" w14:textId="77777777">
        <w:trPr>
          <w:trHeight w:val="889"/>
        </w:trPr>
        <w:tc>
          <w:tcPr>
            <w:tcW w:w="2816" w:type="dxa"/>
            <w:vAlign w:val="center"/>
          </w:tcPr>
          <w:p w:rsidRPr="009C4B8D" w:rsidR="007362EA" w:rsidP="0071643C" w:rsidRDefault="007362EA" w14:paraId="5529B021" w14:textId="77777777">
            <w:pPr>
              <w:kinsoku w:val="0"/>
              <w:overflowPunct w:val="0"/>
              <w:autoSpaceDE w:val="0"/>
              <w:autoSpaceDN w:val="0"/>
              <w:adjustRightInd w:val="0"/>
              <w:spacing w:before="100"/>
              <w:ind w:left="89"/>
              <w:rPr>
                <w:rFonts w:ascii="Calibri" w:hAnsi="Calibri" w:cs="Calibri"/>
                <w:b/>
                <w:bCs/>
                <w:color w:val="0FACCF"/>
                <w:sz w:val="20"/>
                <w:szCs w:val="20"/>
              </w:rPr>
            </w:pPr>
            <w:r w:rsidRPr="009C4B8D">
              <w:rPr>
                <w:rFonts w:ascii="Calibri" w:hAnsi="Calibri" w:cs="Calibri"/>
                <w:b/>
                <w:bCs/>
                <w:color w:val="0070C0"/>
                <w:sz w:val="20"/>
                <w:szCs w:val="20"/>
              </w:rPr>
              <w:t>DPR 5 ottobre 2010, n. 207</w:t>
            </w:r>
          </w:p>
        </w:tc>
        <w:tc>
          <w:tcPr>
            <w:tcW w:w="6163" w:type="dxa"/>
            <w:vAlign w:val="center"/>
          </w:tcPr>
          <w:p w:rsidRPr="009C4B8D" w:rsidR="007362EA" w:rsidP="0006638A" w:rsidRDefault="007362EA" w14:paraId="3B56BBC1" w14:textId="77777777">
            <w:pPr>
              <w:kinsoku w:val="0"/>
              <w:overflowPunct w:val="0"/>
              <w:autoSpaceDE w:val="0"/>
              <w:autoSpaceDN w:val="0"/>
              <w:adjustRightInd w:val="0"/>
              <w:spacing w:before="100"/>
              <w:rPr>
                <w:rFonts w:ascii="Calibri" w:hAnsi="Calibri" w:cs="Calibri"/>
                <w:sz w:val="20"/>
                <w:szCs w:val="20"/>
              </w:rPr>
            </w:pPr>
            <w:r w:rsidRPr="009C4B8D">
              <w:rPr>
                <w:rFonts w:ascii="Calibri" w:hAnsi="Calibri" w:cs="Calibri"/>
                <w:sz w:val="20"/>
                <w:szCs w:val="20"/>
              </w:rPr>
              <w:t>DPR 5 ottobre 2010, n. 207 “Regolamento di esecuzione ed attuazione del decreto legislativo 12 aprile 2006, n. 163, recante «Codice dei contratti pubblici relativi a lavori, servizi e forniture in attuazione delle direttive 2004/17/CE e 2004/18/CE»”;</w:t>
            </w:r>
          </w:p>
        </w:tc>
      </w:tr>
      <w:tr w:rsidRPr="007362EA" w:rsidR="007362EA" w:rsidTr="3175BA12" w14:paraId="34494584" w14:textId="77777777">
        <w:trPr>
          <w:trHeight w:val="983"/>
        </w:trPr>
        <w:tc>
          <w:tcPr>
            <w:tcW w:w="2816" w:type="dxa"/>
            <w:vAlign w:val="center"/>
          </w:tcPr>
          <w:p w:rsidRPr="004178F2" w:rsidR="007362EA" w:rsidP="0071643C" w:rsidRDefault="007362EA" w14:paraId="4E7F2070"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DPCM 18 aprile 2013</w:t>
            </w:r>
          </w:p>
        </w:tc>
        <w:tc>
          <w:tcPr>
            <w:tcW w:w="6163" w:type="dxa"/>
            <w:vAlign w:val="center"/>
          </w:tcPr>
          <w:p w:rsidRPr="004178F2" w:rsidR="007362EA" w:rsidP="0006638A" w:rsidRDefault="007362EA" w14:paraId="7E0C3689" w14:textId="77777777">
            <w:pPr>
              <w:kinsoku w:val="0"/>
              <w:overflowPunct w:val="0"/>
              <w:autoSpaceDE w:val="0"/>
              <w:autoSpaceDN w:val="0"/>
              <w:adjustRightInd w:val="0"/>
              <w:spacing w:before="1"/>
              <w:ind w:right="79"/>
              <w:rPr>
                <w:rFonts w:ascii="Calibri" w:hAnsi="Calibri" w:cs="Calibri"/>
                <w:sz w:val="20"/>
                <w:szCs w:val="20"/>
              </w:rPr>
            </w:pPr>
            <w:r w:rsidRPr="004178F2">
              <w:rPr>
                <w:rFonts w:ascii="Calibri" w:hAnsi="Calibri" w:cs="Calibri"/>
                <w:sz w:val="20"/>
                <w:szCs w:val="20"/>
              </w:rPr>
              <w:t xml:space="preserve">Decreto del Presidente del </w:t>
            </w:r>
            <w:proofErr w:type="gramStart"/>
            <w:r w:rsidRPr="004178F2">
              <w:rPr>
                <w:rFonts w:ascii="Calibri" w:hAnsi="Calibri" w:cs="Calibri"/>
                <w:sz w:val="20"/>
                <w:szCs w:val="20"/>
              </w:rPr>
              <w:t>Consiglio dei Ministri</w:t>
            </w:r>
            <w:proofErr w:type="gramEnd"/>
            <w:r w:rsidRPr="004178F2">
              <w:rPr>
                <w:rFonts w:ascii="Calibri" w:hAnsi="Calibri" w:cs="Calibri"/>
                <w:sz w:val="20"/>
                <w:szCs w:val="20"/>
              </w:rPr>
              <w:t xml:space="preserve"> 18 aprile 2013 “Modalità per l'istituzione e l'aggiornamento degli elenchi dei fornitori, prestatori di servizi ed esecutori non soggetti a tentativo</w:t>
            </w:r>
          </w:p>
          <w:p w:rsidRPr="004178F2" w:rsidR="007362EA" w:rsidP="0006638A" w:rsidRDefault="007362EA" w14:paraId="35951B68" w14:textId="77777777">
            <w:pPr>
              <w:kinsoku w:val="0"/>
              <w:overflowPunct w:val="0"/>
              <w:autoSpaceDE w:val="0"/>
              <w:autoSpaceDN w:val="0"/>
              <w:adjustRightInd w:val="0"/>
              <w:spacing w:before="1"/>
              <w:ind w:right="79"/>
              <w:rPr>
                <w:rFonts w:ascii="Calibri" w:hAnsi="Calibri" w:cs="Calibri"/>
                <w:sz w:val="20"/>
                <w:szCs w:val="20"/>
              </w:rPr>
            </w:pPr>
            <w:r w:rsidRPr="004178F2">
              <w:rPr>
                <w:rFonts w:ascii="Calibri" w:hAnsi="Calibri" w:cs="Calibri"/>
                <w:sz w:val="20"/>
                <w:szCs w:val="20"/>
              </w:rPr>
              <w:t>di infiltrazione mafiosa, di cui all'articolo 1, comma 52, della legge 6 novembre 2012, n. 190 (White List)”.</w:t>
            </w:r>
          </w:p>
        </w:tc>
      </w:tr>
      <w:tr w:rsidR="3175BA12" w:rsidTr="3175BA12" w14:paraId="659FEA1D" w14:textId="77777777">
        <w:trPr>
          <w:trHeight w:val="300"/>
        </w:trPr>
        <w:tc>
          <w:tcPr>
            <w:tcW w:w="2816" w:type="dxa"/>
            <w:vAlign w:val="center"/>
          </w:tcPr>
          <w:p w:rsidR="2469A2AE" w:rsidP="3175BA12" w:rsidRDefault="2469A2AE" w14:paraId="4176FBCC" w14:textId="7E39C0FB">
            <w:pPr>
              <w:rPr>
                <w:rFonts w:ascii="Calibri" w:hAnsi="Calibri" w:cs="Calibri"/>
                <w:b/>
                <w:bCs/>
                <w:color w:val="0070C0"/>
                <w:sz w:val="20"/>
                <w:szCs w:val="20"/>
              </w:rPr>
            </w:pPr>
            <w:r w:rsidRPr="3175BA12">
              <w:rPr>
                <w:rFonts w:asciiTheme="minorHAnsi" w:hAnsiTheme="minorHAnsi" w:eastAsiaTheme="minorEastAsia" w:cstheme="minorBidi"/>
                <w:b/>
                <w:bCs/>
                <w:color w:val="0070C0"/>
                <w:sz w:val="20"/>
                <w:szCs w:val="20"/>
              </w:rPr>
              <w:t>ANAC</w:t>
            </w:r>
          </w:p>
        </w:tc>
        <w:tc>
          <w:tcPr>
            <w:tcW w:w="6163" w:type="dxa"/>
            <w:vAlign w:val="center"/>
          </w:tcPr>
          <w:p w:rsidR="2469A2AE" w:rsidRDefault="2469A2AE" w14:paraId="48CA8743" w14:textId="0C4CA7E5">
            <w:r w:rsidRPr="3175BA12">
              <w:rPr>
                <w:rFonts w:ascii="Calibri" w:hAnsi="Calibri" w:eastAsia="Calibri" w:cs="Calibri"/>
                <w:sz w:val="20"/>
                <w:szCs w:val="20"/>
              </w:rPr>
              <w:t>circolari, vademecum e linee guida</w:t>
            </w:r>
          </w:p>
        </w:tc>
      </w:tr>
    </w:tbl>
    <w:p w:rsidRPr="00DC6DAA" w:rsidR="007362EA" w:rsidP="009C5076" w:rsidRDefault="52C5CEAB" w14:paraId="6B8128A7" w14:textId="7FC9AB8F">
      <w:pPr>
        <w:pStyle w:val="Heading2"/>
        <w:numPr>
          <w:ilvl w:val="1"/>
          <w:numId w:val="29"/>
        </w:numPr>
        <w:rPr>
          <w:rFonts w:ascii="Calibri" w:hAnsi="Calibri" w:cs="Calibri"/>
          <w:b/>
          <w:bCs/>
          <w:color w:val="215E99" w:themeColor="text2" w:themeTint="BF"/>
          <w:sz w:val="28"/>
          <w:szCs w:val="28"/>
        </w:rPr>
      </w:pPr>
      <w:bookmarkStart w:name="_Toc188903500" w:id="10"/>
      <w:bookmarkStart w:name="_Toc190354100" w:id="11"/>
      <w:r w:rsidRPr="52C5CEAB">
        <w:rPr>
          <w:rFonts w:ascii="Calibri" w:hAnsi="Calibri" w:cs="Calibri"/>
          <w:b/>
          <w:bCs/>
          <w:color w:val="215E99" w:themeColor="text2" w:themeTint="BF"/>
          <w:sz w:val="28"/>
          <w:szCs w:val="28"/>
        </w:rPr>
        <w:t>Aiuti di stato</w:t>
      </w:r>
      <w:bookmarkEnd w:id="10"/>
      <w:bookmarkEnd w:id="11"/>
    </w:p>
    <w:tbl>
      <w:tblPr>
        <w:tblW w:w="0" w:type="auto"/>
        <w:tblInd w:w="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2816"/>
        <w:gridCol w:w="6163"/>
      </w:tblGrid>
      <w:tr w:rsidRPr="007362EA" w:rsidR="007362EA" w:rsidTr="35CD470B" w14:paraId="337E1E14" w14:textId="77777777">
        <w:trPr>
          <w:trHeight w:val="733"/>
        </w:trPr>
        <w:tc>
          <w:tcPr>
            <w:tcW w:w="2816" w:type="dxa"/>
            <w:vAlign w:val="center"/>
          </w:tcPr>
          <w:p w:rsidRPr="004178F2" w:rsidR="007362EA" w:rsidP="0071643C" w:rsidRDefault="007362EA" w14:paraId="55017F6F" w14:textId="77777777">
            <w:pPr>
              <w:kinsoku w:val="0"/>
              <w:overflowPunct w:val="0"/>
              <w:autoSpaceDE w:val="0"/>
              <w:autoSpaceDN w:val="0"/>
              <w:adjustRightInd w:val="0"/>
              <w:spacing w:before="97"/>
              <w:ind w:left="89"/>
              <w:rPr>
                <w:rFonts w:ascii="Calibri" w:hAnsi="Calibri" w:cs="Calibri"/>
                <w:b/>
                <w:bCs/>
                <w:color w:val="0070C0"/>
                <w:sz w:val="20"/>
                <w:szCs w:val="20"/>
              </w:rPr>
            </w:pPr>
            <w:proofErr w:type="gramStart"/>
            <w:r w:rsidRPr="004178F2">
              <w:rPr>
                <w:rFonts w:ascii="Calibri" w:hAnsi="Calibri" w:cs="Calibri"/>
                <w:b/>
                <w:bCs/>
                <w:color w:val="0070C0"/>
                <w:sz w:val="20"/>
                <w:szCs w:val="20"/>
              </w:rPr>
              <w:t>C(</w:t>
            </w:r>
            <w:proofErr w:type="gramEnd"/>
            <w:r w:rsidRPr="004178F2">
              <w:rPr>
                <w:rFonts w:ascii="Calibri" w:hAnsi="Calibri" w:cs="Calibri"/>
                <w:b/>
                <w:bCs/>
                <w:color w:val="0070C0"/>
                <w:sz w:val="20"/>
                <w:szCs w:val="20"/>
              </w:rPr>
              <w:t>2021) 2594 del 19 aprile 2021</w:t>
            </w:r>
            <w:r w:rsidRPr="004178F2">
              <w:rPr>
                <w:rFonts w:ascii="Calibri" w:hAnsi="Calibri" w:cs="Calibri"/>
                <w:sz w:val="20"/>
                <w:szCs w:val="20"/>
              </w:rPr>
              <w:t xml:space="preserve"> </w:t>
            </w:r>
          </w:p>
        </w:tc>
        <w:tc>
          <w:tcPr>
            <w:tcW w:w="6163" w:type="dxa"/>
            <w:vAlign w:val="center"/>
          </w:tcPr>
          <w:p w:rsidRPr="0071643C" w:rsidR="007362EA" w:rsidP="0071643C" w:rsidRDefault="007362EA" w14:paraId="7143075B" w14:textId="3981B40C">
            <w:pPr>
              <w:pStyle w:val="Default"/>
              <w:rPr>
                <w:sz w:val="20"/>
                <w:szCs w:val="20"/>
              </w:rPr>
            </w:pPr>
            <w:r w:rsidRPr="004178F2">
              <w:rPr>
                <w:sz w:val="20"/>
                <w:szCs w:val="20"/>
              </w:rPr>
              <w:t xml:space="preserve">“Orientamenti in materia di aiuti di Stato a finalità regionale 2022-2027” approvati con Comunicazione </w:t>
            </w:r>
            <w:proofErr w:type="gramStart"/>
            <w:r w:rsidRPr="004178F2">
              <w:rPr>
                <w:sz w:val="20"/>
                <w:szCs w:val="20"/>
              </w:rPr>
              <w:t>C(</w:t>
            </w:r>
            <w:proofErr w:type="gramEnd"/>
            <w:r w:rsidRPr="004178F2">
              <w:rPr>
                <w:sz w:val="20"/>
                <w:szCs w:val="20"/>
              </w:rPr>
              <w:t xml:space="preserve">2021) 2594 del 19 aprile 2021 e </w:t>
            </w:r>
            <w:proofErr w:type="spellStart"/>
            <w:r w:rsidRPr="004178F2">
              <w:rPr>
                <w:sz w:val="20"/>
                <w:szCs w:val="20"/>
              </w:rPr>
              <w:t>s.m.i.</w:t>
            </w:r>
            <w:proofErr w:type="spellEnd"/>
          </w:p>
        </w:tc>
      </w:tr>
      <w:tr w:rsidRPr="007362EA" w:rsidR="007362EA" w:rsidTr="35CD470B" w14:paraId="0C6BA0E6" w14:textId="77777777">
        <w:trPr>
          <w:trHeight w:val="733"/>
        </w:trPr>
        <w:tc>
          <w:tcPr>
            <w:tcW w:w="2816" w:type="dxa"/>
            <w:vAlign w:val="center"/>
          </w:tcPr>
          <w:p w:rsidRPr="004178F2" w:rsidR="007362EA" w:rsidP="0071643C" w:rsidRDefault="007362EA" w14:paraId="0854AE06"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Carta degli aiuti</w:t>
            </w:r>
          </w:p>
        </w:tc>
        <w:tc>
          <w:tcPr>
            <w:tcW w:w="6163" w:type="dxa"/>
            <w:vAlign w:val="center"/>
          </w:tcPr>
          <w:p w:rsidRPr="004178F2" w:rsidR="007362EA" w:rsidP="0071643C" w:rsidRDefault="007362EA" w14:paraId="56E43900" w14:textId="12B3F541">
            <w:pPr>
              <w:pStyle w:val="Default"/>
              <w:rPr>
                <w:sz w:val="20"/>
                <w:szCs w:val="20"/>
              </w:rPr>
            </w:pPr>
            <w:r w:rsidRPr="004178F2">
              <w:rPr>
                <w:sz w:val="20"/>
                <w:szCs w:val="20"/>
              </w:rPr>
              <w:t xml:space="preserve">Carta degli aiuti a finalità regionale per l'Italia (1º gennaio 2022-31 dicembre 2027) approvata con decisione della Commissione </w:t>
            </w:r>
            <w:proofErr w:type="gramStart"/>
            <w:r w:rsidRPr="004178F2">
              <w:rPr>
                <w:sz w:val="20"/>
                <w:szCs w:val="20"/>
              </w:rPr>
              <w:t>C(</w:t>
            </w:r>
            <w:proofErr w:type="gramEnd"/>
            <w:r w:rsidRPr="004178F2">
              <w:rPr>
                <w:sz w:val="20"/>
                <w:szCs w:val="20"/>
              </w:rPr>
              <w:t xml:space="preserve">2021) 8655 final del 02 dicembre 2021 e </w:t>
            </w:r>
            <w:proofErr w:type="spellStart"/>
            <w:r w:rsidRPr="004178F2">
              <w:rPr>
                <w:sz w:val="20"/>
                <w:szCs w:val="20"/>
              </w:rPr>
              <w:t>s.m.i.</w:t>
            </w:r>
            <w:proofErr w:type="spellEnd"/>
          </w:p>
        </w:tc>
      </w:tr>
      <w:tr w:rsidRPr="007362EA" w:rsidR="007362EA" w:rsidTr="35CD470B" w14:paraId="05EB7EAC" w14:textId="77777777">
        <w:trPr>
          <w:trHeight w:val="733"/>
        </w:trPr>
        <w:tc>
          <w:tcPr>
            <w:tcW w:w="2816" w:type="dxa"/>
            <w:vAlign w:val="center"/>
          </w:tcPr>
          <w:p w:rsidRPr="004178F2" w:rsidR="007362EA" w:rsidP="0071643C" w:rsidRDefault="007362EA" w14:paraId="1808609D"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Regolamento (UE) 2014/651</w:t>
            </w:r>
          </w:p>
        </w:tc>
        <w:tc>
          <w:tcPr>
            <w:tcW w:w="6163" w:type="dxa"/>
            <w:vAlign w:val="center"/>
          </w:tcPr>
          <w:p w:rsidRPr="004178F2" w:rsidR="007362EA" w:rsidP="0071643C" w:rsidRDefault="007362EA" w14:paraId="146F1E56" w14:textId="77777777">
            <w:pPr>
              <w:pStyle w:val="Default"/>
              <w:rPr>
                <w:sz w:val="20"/>
                <w:szCs w:val="20"/>
              </w:rPr>
            </w:pPr>
            <w:r w:rsidRPr="004178F2">
              <w:rPr>
                <w:sz w:val="20"/>
                <w:szCs w:val="20"/>
              </w:rPr>
              <w:t>Regolamento (UE) 2014/651 della Commissione del 17 giugno 2014 che dichiara alcune categorie di aiuti compatibili con il mercato interno in applicazione degli articoli 107 e 108 del trattato</w:t>
            </w:r>
          </w:p>
        </w:tc>
      </w:tr>
      <w:tr w:rsidRPr="007362EA" w:rsidR="007362EA" w:rsidTr="35CD470B" w14:paraId="2E9E9078" w14:textId="77777777">
        <w:trPr>
          <w:trHeight w:val="733"/>
        </w:trPr>
        <w:tc>
          <w:tcPr>
            <w:tcW w:w="2816" w:type="dxa"/>
            <w:vAlign w:val="center"/>
          </w:tcPr>
          <w:p w:rsidRPr="004178F2" w:rsidR="007362EA" w:rsidP="0071643C" w:rsidRDefault="007362EA" w14:paraId="36672D27"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Regolamento (UE) 2023/1315</w:t>
            </w:r>
          </w:p>
        </w:tc>
        <w:tc>
          <w:tcPr>
            <w:tcW w:w="6163" w:type="dxa"/>
            <w:vAlign w:val="center"/>
          </w:tcPr>
          <w:p w:rsidRPr="004178F2" w:rsidR="007362EA" w:rsidP="0071643C" w:rsidRDefault="007362EA" w14:paraId="2F3C1280" w14:textId="77777777">
            <w:pPr>
              <w:pStyle w:val="Default"/>
              <w:rPr>
                <w:sz w:val="20"/>
                <w:szCs w:val="20"/>
              </w:rPr>
            </w:pPr>
            <w:r w:rsidRPr="004178F2">
              <w:rPr>
                <w:sz w:val="20"/>
                <w:szCs w:val="20"/>
              </w:rPr>
              <w:t xml:space="preserve">Regolamento (UE) 2023/1315 della Commissione del 23 giugno 2023 recante modifica del regolamento (UE) n. 651/2014 che dichiara alcune categorie di aiuti compatibili con il mercato interno in applicazione degli articoli 107 e 108 del trattato e del regolamento (UE) 2022/2473 che dichiara compatibili con il mercato interno, in applicazione degli articoli 107 e 108 del trattato sul funzionamento dell'Unione europea, alcune categorie di aiuti a favore delle imprese attive nel settore della produzione, trasformazione e commercializzazione dei prodotti della pesca e </w:t>
            </w:r>
            <w:r w:rsidRPr="004178F2">
              <w:rPr>
                <w:color w:val="auto"/>
                <w:sz w:val="20"/>
                <w:szCs w:val="20"/>
              </w:rPr>
              <w:t>dell'acquacoltura</w:t>
            </w:r>
          </w:p>
        </w:tc>
      </w:tr>
      <w:tr w:rsidRPr="007362EA" w:rsidR="007362EA" w:rsidTr="35CD470B" w14:paraId="00DB3A3C" w14:textId="77777777">
        <w:trPr>
          <w:trHeight w:val="733"/>
        </w:trPr>
        <w:tc>
          <w:tcPr>
            <w:tcW w:w="2816" w:type="dxa"/>
            <w:vAlign w:val="center"/>
          </w:tcPr>
          <w:p w:rsidRPr="004178F2" w:rsidR="007362EA" w:rsidP="0071643C" w:rsidRDefault="007362EA" w14:paraId="14190883"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Regolamento (UE) 2013/1407</w:t>
            </w:r>
          </w:p>
        </w:tc>
        <w:tc>
          <w:tcPr>
            <w:tcW w:w="6163" w:type="dxa"/>
            <w:vAlign w:val="center"/>
          </w:tcPr>
          <w:p w:rsidRPr="004178F2" w:rsidR="007362EA" w:rsidP="0071643C" w:rsidRDefault="007362EA" w14:paraId="1F6856EB" w14:textId="77777777">
            <w:pPr>
              <w:pStyle w:val="Default"/>
              <w:rPr>
                <w:sz w:val="20"/>
                <w:szCs w:val="20"/>
              </w:rPr>
            </w:pPr>
            <w:r w:rsidRPr="004178F2">
              <w:rPr>
                <w:sz w:val="20"/>
                <w:szCs w:val="20"/>
              </w:rPr>
              <w:t>Regolamento (UE) 2013/1407 della Commissione del 18 dicembre 2013 relativo all’applicazione degli articoli 107 e 108 del trattato sul funzionamento dell’Unione europea agli aiuti «de minimis»</w:t>
            </w:r>
          </w:p>
        </w:tc>
      </w:tr>
      <w:tr w:rsidRPr="007362EA" w:rsidR="007362EA" w:rsidTr="35CD470B" w14:paraId="66624A7E" w14:textId="77777777">
        <w:trPr>
          <w:trHeight w:val="733"/>
        </w:trPr>
        <w:tc>
          <w:tcPr>
            <w:tcW w:w="2816" w:type="dxa"/>
            <w:vAlign w:val="center"/>
          </w:tcPr>
          <w:p w:rsidRPr="004178F2" w:rsidR="007362EA" w:rsidP="0071643C" w:rsidRDefault="007362EA" w14:paraId="7555C07F"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Regolamento (UE) 2020/972</w:t>
            </w:r>
          </w:p>
        </w:tc>
        <w:tc>
          <w:tcPr>
            <w:tcW w:w="6163" w:type="dxa"/>
            <w:vAlign w:val="center"/>
          </w:tcPr>
          <w:p w:rsidRPr="004178F2" w:rsidR="007362EA" w:rsidP="0071643C" w:rsidRDefault="007362EA" w14:paraId="75C6CAE3" w14:textId="77777777">
            <w:pPr>
              <w:pStyle w:val="Default"/>
              <w:rPr>
                <w:color w:val="auto"/>
                <w:sz w:val="20"/>
                <w:szCs w:val="20"/>
              </w:rPr>
            </w:pPr>
            <w:r w:rsidRPr="004178F2">
              <w:rPr>
                <w:sz w:val="20"/>
                <w:szCs w:val="20"/>
              </w:rPr>
              <w:t xml:space="preserve">Regolamento (UE) 2020/972 che modifica il regolamento (UE) n. 1407/2013 per quanto riguarda la sua proroga e il regolamento (UE) n. 651/2014 per quanto riguarda la sua proroga e gli </w:t>
            </w:r>
            <w:r w:rsidRPr="004178F2">
              <w:rPr>
                <w:color w:val="auto"/>
                <w:sz w:val="20"/>
                <w:szCs w:val="20"/>
              </w:rPr>
              <w:t>adeguamenti pertinenti</w:t>
            </w:r>
          </w:p>
        </w:tc>
      </w:tr>
      <w:tr w:rsidRPr="007362EA" w:rsidR="007362EA" w:rsidTr="35CD470B" w14:paraId="6F707297" w14:textId="77777777">
        <w:trPr>
          <w:trHeight w:val="733"/>
        </w:trPr>
        <w:tc>
          <w:tcPr>
            <w:tcW w:w="2816" w:type="dxa"/>
            <w:vAlign w:val="center"/>
          </w:tcPr>
          <w:p w:rsidRPr="004178F2" w:rsidR="007362EA" w:rsidP="0071643C" w:rsidRDefault="007362EA" w14:paraId="63D0B07E"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Regolamento (UE) 2023/2831</w:t>
            </w:r>
          </w:p>
        </w:tc>
        <w:tc>
          <w:tcPr>
            <w:tcW w:w="6163" w:type="dxa"/>
            <w:vAlign w:val="center"/>
          </w:tcPr>
          <w:p w:rsidRPr="004178F2" w:rsidR="007362EA" w:rsidP="0071643C" w:rsidRDefault="007362EA" w14:paraId="580FC11E" w14:textId="77777777">
            <w:pPr>
              <w:pStyle w:val="Default"/>
              <w:rPr>
                <w:sz w:val="20"/>
                <w:szCs w:val="20"/>
              </w:rPr>
            </w:pPr>
            <w:r w:rsidRPr="004178F2">
              <w:rPr>
                <w:sz w:val="20"/>
                <w:szCs w:val="20"/>
              </w:rPr>
              <w:t>Regolamento (UE) 2023/2831 della Commissione del 13 dicembre 2023 relativo all’applicazione degli articoli 107 e 108 del trattato sul funzionamento dell’Unione europea agli aiuti «de minimis»</w:t>
            </w:r>
          </w:p>
        </w:tc>
      </w:tr>
      <w:tr w:rsidRPr="007362EA" w:rsidR="007362EA" w:rsidTr="35CD470B" w14:paraId="3B9D07C7" w14:textId="77777777">
        <w:trPr>
          <w:trHeight w:val="733"/>
        </w:trPr>
        <w:tc>
          <w:tcPr>
            <w:tcW w:w="2816" w:type="dxa"/>
            <w:vAlign w:val="center"/>
          </w:tcPr>
          <w:p w:rsidRPr="004178F2" w:rsidR="007362EA" w:rsidP="0071643C" w:rsidRDefault="007362EA" w14:paraId="47E8EAC3"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Direttiva 2006/111/CE</w:t>
            </w:r>
          </w:p>
        </w:tc>
        <w:tc>
          <w:tcPr>
            <w:tcW w:w="6163" w:type="dxa"/>
            <w:vAlign w:val="center"/>
          </w:tcPr>
          <w:p w:rsidRPr="004178F2" w:rsidR="007362EA" w:rsidP="0071643C" w:rsidRDefault="007362EA" w14:paraId="4D8327DC" w14:textId="77777777">
            <w:pPr>
              <w:pStyle w:val="Default"/>
              <w:rPr>
                <w:color w:val="auto"/>
                <w:sz w:val="20"/>
                <w:szCs w:val="20"/>
              </w:rPr>
            </w:pPr>
            <w:r w:rsidRPr="004178F2">
              <w:rPr>
                <w:sz w:val="20"/>
                <w:szCs w:val="20"/>
              </w:rPr>
              <w:t>Direttiva 2006/111/CE relativa alla trasparenza delle relazioni finanziarie tra gli Stati membri e le loro imprese pubbliche e alla trasparenza finanziaria all'interno di talune imprese (versione codificata) (GU L 318 del 17.11.2006, pagg. 17-25)</w:t>
            </w:r>
          </w:p>
        </w:tc>
      </w:tr>
      <w:tr w:rsidRPr="007362EA" w:rsidR="007362EA" w:rsidTr="35CD470B" w14:paraId="056CCA25" w14:textId="77777777">
        <w:trPr>
          <w:trHeight w:val="733"/>
        </w:trPr>
        <w:tc>
          <w:tcPr>
            <w:tcW w:w="2816" w:type="dxa"/>
            <w:vAlign w:val="center"/>
          </w:tcPr>
          <w:p w:rsidRPr="004178F2" w:rsidR="007362EA" w:rsidP="0071643C" w:rsidRDefault="007362EA" w14:paraId="12402381"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Comunicazione della Commissione 2014/C 198/01</w:t>
            </w:r>
          </w:p>
        </w:tc>
        <w:tc>
          <w:tcPr>
            <w:tcW w:w="6163" w:type="dxa"/>
            <w:vAlign w:val="center"/>
          </w:tcPr>
          <w:p w:rsidRPr="0071643C" w:rsidR="007362EA" w:rsidP="0071643C" w:rsidRDefault="007362EA" w14:paraId="03419138" w14:textId="48F646ED">
            <w:pPr>
              <w:pStyle w:val="Default"/>
              <w:rPr>
                <w:sz w:val="20"/>
                <w:szCs w:val="20"/>
              </w:rPr>
            </w:pPr>
            <w:r w:rsidRPr="004178F2">
              <w:rPr>
                <w:sz w:val="20"/>
                <w:szCs w:val="20"/>
              </w:rPr>
              <w:t>Comunicazione della Commissione 2014/C 198/01 — Disciplina degli aiuti di Stato a favore di ricerca, sviluppo e innovazione</w:t>
            </w:r>
          </w:p>
        </w:tc>
      </w:tr>
      <w:tr w:rsidRPr="007362EA" w:rsidR="007362EA" w:rsidTr="35CD470B" w14:paraId="69C37E62" w14:textId="77777777">
        <w:trPr>
          <w:trHeight w:val="733"/>
        </w:trPr>
        <w:tc>
          <w:tcPr>
            <w:tcW w:w="2816" w:type="dxa"/>
            <w:vAlign w:val="center"/>
          </w:tcPr>
          <w:p w:rsidRPr="004178F2" w:rsidR="007362EA" w:rsidP="0071643C" w:rsidRDefault="007362EA" w14:paraId="399394C8"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Comunicazione della Commissione 2014/C 19/04</w:t>
            </w:r>
          </w:p>
        </w:tc>
        <w:tc>
          <w:tcPr>
            <w:tcW w:w="6163" w:type="dxa"/>
            <w:vAlign w:val="center"/>
          </w:tcPr>
          <w:p w:rsidRPr="004178F2" w:rsidR="007362EA" w:rsidP="0071643C" w:rsidRDefault="007362EA" w14:paraId="6DBF94FC" w14:textId="77777777">
            <w:pPr>
              <w:pStyle w:val="Default"/>
              <w:rPr>
                <w:color w:val="auto"/>
                <w:sz w:val="20"/>
                <w:szCs w:val="20"/>
              </w:rPr>
            </w:pPr>
            <w:r w:rsidRPr="004178F2">
              <w:rPr>
                <w:sz w:val="20"/>
                <w:szCs w:val="20"/>
              </w:rPr>
              <w:t>Comunicazione della Commissione 2014/C 19/04 — Orientamenti sugli aiuti di Stato destinati a promuovere gli investimenti per il finanziamento del rischio</w:t>
            </w:r>
          </w:p>
        </w:tc>
      </w:tr>
      <w:tr w:rsidRPr="007362EA" w:rsidR="007362EA" w:rsidTr="35CD470B" w14:paraId="4AE86664" w14:textId="77777777">
        <w:trPr>
          <w:trHeight w:val="733"/>
        </w:trPr>
        <w:tc>
          <w:tcPr>
            <w:tcW w:w="2816" w:type="dxa"/>
            <w:vAlign w:val="center"/>
          </w:tcPr>
          <w:p w:rsidRPr="004178F2" w:rsidR="007362EA" w:rsidP="0071643C" w:rsidRDefault="007362EA" w14:paraId="46A3D9CE"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Comunicazione della Commissione 2016/C 262/01</w:t>
            </w:r>
          </w:p>
        </w:tc>
        <w:tc>
          <w:tcPr>
            <w:tcW w:w="6163" w:type="dxa"/>
            <w:vAlign w:val="center"/>
          </w:tcPr>
          <w:p w:rsidRPr="004178F2" w:rsidR="007362EA" w:rsidP="0071643C" w:rsidRDefault="007362EA" w14:paraId="16E78510" w14:textId="77777777">
            <w:pPr>
              <w:pStyle w:val="Default"/>
              <w:rPr>
                <w:color w:val="auto"/>
                <w:sz w:val="20"/>
                <w:szCs w:val="20"/>
              </w:rPr>
            </w:pPr>
            <w:r w:rsidRPr="004178F2">
              <w:rPr>
                <w:sz w:val="20"/>
                <w:szCs w:val="20"/>
              </w:rPr>
              <w:t>Comunicazione della Commissione 2016/C 262/01 sulla nozione di aiuto di Stato di cui all'articolo 107, paragrafo 1, del trattato sul funzionamento dell'Unione europea</w:t>
            </w:r>
          </w:p>
        </w:tc>
      </w:tr>
      <w:tr w:rsidRPr="007362EA" w:rsidR="007362EA" w:rsidTr="35CD470B" w14:paraId="031C8172" w14:textId="77777777">
        <w:trPr>
          <w:trHeight w:val="733"/>
        </w:trPr>
        <w:tc>
          <w:tcPr>
            <w:tcW w:w="2816" w:type="dxa"/>
            <w:vAlign w:val="center"/>
          </w:tcPr>
          <w:p w:rsidRPr="004178F2" w:rsidR="007362EA" w:rsidP="0071643C" w:rsidRDefault="007362EA" w14:paraId="506B1BEC"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 xml:space="preserve">Comunicazione della Commissione C/2023/1212 </w:t>
            </w:r>
          </w:p>
        </w:tc>
        <w:tc>
          <w:tcPr>
            <w:tcW w:w="6163" w:type="dxa"/>
            <w:vAlign w:val="center"/>
          </w:tcPr>
          <w:p w:rsidRPr="004178F2" w:rsidR="007362EA" w:rsidP="0071643C" w:rsidRDefault="007362EA" w14:paraId="381B1C61" w14:textId="77777777">
            <w:pPr>
              <w:pStyle w:val="Default"/>
              <w:rPr>
                <w:sz w:val="20"/>
                <w:szCs w:val="20"/>
              </w:rPr>
            </w:pPr>
            <w:r w:rsidRPr="004178F2">
              <w:rPr>
                <w:sz w:val="20"/>
                <w:szCs w:val="20"/>
              </w:rPr>
              <w:t>Orientamenti sugli aiuti di Stato per il salvataggio e la ristrutturazione di imprese non finanziarie in difficoltà (2014/C 249/01) come prorogata (sino al 31/12/2025) dalla Comunicazione della Commissione C/2023/1212 del 29 novembre 2023</w:t>
            </w:r>
          </w:p>
        </w:tc>
      </w:tr>
      <w:tr w:rsidRPr="007362EA" w:rsidR="007362EA" w:rsidTr="35CD470B" w14:paraId="3ABEB917" w14:textId="77777777">
        <w:trPr>
          <w:trHeight w:val="733"/>
        </w:trPr>
        <w:tc>
          <w:tcPr>
            <w:tcW w:w="2816" w:type="dxa"/>
            <w:vAlign w:val="center"/>
          </w:tcPr>
          <w:p w:rsidRPr="004178F2" w:rsidR="007362EA" w:rsidP="0071643C" w:rsidRDefault="007362EA" w14:paraId="779E9B79"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Comunicazione della Commissione 2021/C 508/01</w:t>
            </w:r>
          </w:p>
        </w:tc>
        <w:tc>
          <w:tcPr>
            <w:tcW w:w="6163" w:type="dxa"/>
            <w:vAlign w:val="center"/>
          </w:tcPr>
          <w:p w:rsidRPr="004178F2" w:rsidR="007362EA" w:rsidP="0071643C" w:rsidRDefault="007362EA" w14:paraId="1ABF5F7B" w14:textId="77777777">
            <w:pPr>
              <w:pStyle w:val="Default"/>
              <w:rPr>
                <w:color w:val="auto"/>
                <w:sz w:val="20"/>
                <w:szCs w:val="20"/>
              </w:rPr>
            </w:pPr>
            <w:r w:rsidRPr="004178F2">
              <w:rPr>
                <w:sz w:val="20"/>
                <w:szCs w:val="20"/>
              </w:rPr>
              <w:t xml:space="preserve">Orientamenti comunitari sugli aiuti di Stato destinati a promuovere gli investimenti in capitale di </w:t>
            </w:r>
            <w:r w:rsidRPr="004178F2">
              <w:rPr>
                <w:color w:val="auto"/>
                <w:sz w:val="20"/>
                <w:szCs w:val="20"/>
              </w:rPr>
              <w:t>rischio nelle piccole e medie imprese (2021/C 508/01)</w:t>
            </w:r>
          </w:p>
        </w:tc>
      </w:tr>
      <w:tr w:rsidRPr="007362EA" w:rsidR="007362EA" w:rsidTr="35CD470B" w14:paraId="6704D356" w14:textId="77777777">
        <w:trPr>
          <w:trHeight w:val="843"/>
        </w:trPr>
        <w:tc>
          <w:tcPr>
            <w:tcW w:w="2816" w:type="dxa"/>
            <w:vAlign w:val="center"/>
          </w:tcPr>
          <w:p w:rsidRPr="004178F2" w:rsidR="007362EA" w:rsidP="0071643C" w:rsidRDefault="007362EA" w14:paraId="41CF852A"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Regolamento (UE) 2015/1589</w:t>
            </w:r>
          </w:p>
        </w:tc>
        <w:tc>
          <w:tcPr>
            <w:tcW w:w="6163" w:type="dxa"/>
            <w:vAlign w:val="center"/>
          </w:tcPr>
          <w:p w:rsidRPr="004178F2" w:rsidR="007362EA" w:rsidP="0071643C" w:rsidRDefault="007362EA" w14:paraId="513485FB" w14:textId="77777777">
            <w:pPr>
              <w:pStyle w:val="Default"/>
              <w:rPr>
                <w:color w:val="auto"/>
                <w:sz w:val="20"/>
                <w:szCs w:val="20"/>
              </w:rPr>
            </w:pPr>
            <w:r w:rsidRPr="004178F2">
              <w:rPr>
                <w:sz w:val="20"/>
                <w:szCs w:val="20"/>
              </w:rPr>
              <w:t>Regolamento (UE) 2015/1589 del Consiglio del 13 luglio 2015 recante modalità di applicazione dell'articolo 108 del trattato sul funzionamento dell'Unione europea (codificazione)</w:t>
            </w:r>
          </w:p>
        </w:tc>
      </w:tr>
      <w:tr w:rsidRPr="007362EA" w:rsidR="007362EA" w:rsidTr="35CD470B" w14:paraId="2C7F2256" w14:textId="77777777">
        <w:trPr>
          <w:trHeight w:val="1338"/>
        </w:trPr>
        <w:tc>
          <w:tcPr>
            <w:tcW w:w="2816" w:type="dxa"/>
            <w:vAlign w:val="center"/>
          </w:tcPr>
          <w:p w:rsidRPr="004178F2" w:rsidR="007362EA" w:rsidP="0071643C" w:rsidRDefault="007362EA" w14:paraId="3F2C6C53"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Decisione della Commissione, del 20 dicembre 2011 n. 2012/21/UE</w:t>
            </w:r>
          </w:p>
        </w:tc>
        <w:tc>
          <w:tcPr>
            <w:tcW w:w="6163" w:type="dxa"/>
            <w:vAlign w:val="center"/>
          </w:tcPr>
          <w:p w:rsidRPr="004178F2" w:rsidR="007362EA" w:rsidP="0071643C" w:rsidRDefault="007362EA" w14:paraId="26447D14" w14:textId="77777777">
            <w:pPr>
              <w:pStyle w:val="Default"/>
              <w:rPr>
                <w:sz w:val="20"/>
                <w:szCs w:val="20"/>
              </w:rPr>
            </w:pPr>
            <w:r w:rsidRPr="004178F2">
              <w:rPr>
                <w:sz w:val="20"/>
                <w:szCs w:val="20"/>
              </w:rPr>
              <w:t>Decisione della Commissione, del 20 dicembre 2011 n. 2012/21/UE, riguardante l’applicazione delle disposizioni dell’articolo 106, paragrafo 2, del trattato sul funzionamento dell’Unione europea agli aiuti di Stato sotto forma di compensazione degli obblighi di servizio pubblico, concessi a determinate imprese incaricate della gestione di servizi di interesse economico generale</w:t>
            </w:r>
          </w:p>
        </w:tc>
      </w:tr>
      <w:tr w:rsidRPr="007362EA" w:rsidR="007362EA" w:rsidTr="35CD470B" w14:paraId="6A2AC827" w14:textId="77777777">
        <w:trPr>
          <w:trHeight w:val="889"/>
        </w:trPr>
        <w:tc>
          <w:tcPr>
            <w:tcW w:w="2816" w:type="dxa"/>
            <w:vAlign w:val="center"/>
          </w:tcPr>
          <w:p w:rsidRPr="004178F2" w:rsidR="007362EA" w:rsidP="0071643C" w:rsidRDefault="007362EA" w14:paraId="24550E51" w14:textId="77777777">
            <w:pPr>
              <w:kinsoku w:val="0"/>
              <w:overflowPunct w:val="0"/>
              <w:autoSpaceDE w:val="0"/>
              <w:autoSpaceDN w:val="0"/>
              <w:adjustRightInd w:val="0"/>
              <w:spacing w:before="100"/>
              <w:ind w:left="89"/>
              <w:rPr>
                <w:rFonts w:ascii="Calibri" w:hAnsi="Calibri" w:cs="Calibri"/>
                <w:b/>
                <w:bCs/>
                <w:color w:val="0070C0"/>
                <w:sz w:val="20"/>
                <w:szCs w:val="20"/>
              </w:rPr>
            </w:pPr>
            <w:r w:rsidRPr="004178F2">
              <w:rPr>
                <w:rFonts w:ascii="Calibri" w:hAnsi="Calibri" w:cs="Calibri"/>
                <w:b/>
                <w:bCs/>
                <w:color w:val="0070C0"/>
                <w:sz w:val="20"/>
                <w:szCs w:val="20"/>
              </w:rPr>
              <w:t>Regolamento (UE) 2012/360</w:t>
            </w:r>
          </w:p>
        </w:tc>
        <w:tc>
          <w:tcPr>
            <w:tcW w:w="6163" w:type="dxa"/>
            <w:vAlign w:val="center"/>
          </w:tcPr>
          <w:p w:rsidRPr="004178F2" w:rsidR="007362EA" w:rsidP="0071643C" w:rsidRDefault="007362EA" w14:paraId="6E13016E" w14:textId="77777777">
            <w:pPr>
              <w:pStyle w:val="Default"/>
              <w:rPr>
                <w:sz w:val="20"/>
                <w:szCs w:val="20"/>
              </w:rPr>
            </w:pPr>
            <w:r w:rsidRPr="004178F2">
              <w:rPr>
                <w:sz w:val="20"/>
                <w:szCs w:val="20"/>
              </w:rPr>
              <w:t>Regolamento (UE) 2012/360 della Commissione, del 25 aprile 2012, relativo all’applicazione degli articoli 107 e 108 del trattato sul funzionamento dell'Unione europea agli aiuti di importanza minore («de minimis») concessi ad imprese che forniscono servizi di interesse economico generale</w:t>
            </w:r>
          </w:p>
        </w:tc>
      </w:tr>
      <w:tr w:rsidRPr="007362EA" w:rsidR="007362EA" w:rsidTr="35CD470B" w14:paraId="6B9F2B64" w14:textId="77777777">
        <w:trPr>
          <w:trHeight w:val="983"/>
        </w:trPr>
        <w:tc>
          <w:tcPr>
            <w:tcW w:w="2816" w:type="dxa"/>
            <w:vAlign w:val="center"/>
          </w:tcPr>
          <w:p w:rsidRPr="004178F2" w:rsidR="007362EA" w:rsidP="0071643C" w:rsidRDefault="007362EA" w14:paraId="064D6F4A" w14:textId="7777777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Regolamento (UE) 2023/2832</w:t>
            </w:r>
          </w:p>
        </w:tc>
        <w:tc>
          <w:tcPr>
            <w:tcW w:w="6163" w:type="dxa"/>
            <w:vAlign w:val="center"/>
          </w:tcPr>
          <w:p w:rsidRPr="004178F2" w:rsidR="007362EA" w:rsidP="0071643C" w:rsidRDefault="007362EA" w14:paraId="63B32BAB" w14:textId="77777777">
            <w:pPr>
              <w:pStyle w:val="Default"/>
              <w:rPr>
                <w:sz w:val="20"/>
                <w:szCs w:val="20"/>
              </w:rPr>
            </w:pPr>
            <w:r w:rsidRPr="004178F2">
              <w:rPr>
                <w:sz w:val="20"/>
                <w:szCs w:val="20"/>
              </w:rPr>
              <w:t>Regolamento (UE) 2023/2832 della Commissione del 13 dicembre 2023 relativo all’applicazione degli articoli 107 e 108 del trattato sul funzionamento dell’Unione europea agli aiuti di importanza minore («de minimis») concessi ad imprese che forniscono servizi di interesse economico generale</w:t>
            </w:r>
          </w:p>
        </w:tc>
      </w:tr>
    </w:tbl>
    <w:p w:rsidRPr="00DC6DAA" w:rsidR="00DB6A2C" w:rsidP="009C5076" w:rsidRDefault="52C5CEAB" w14:paraId="43F00E56" w14:textId="1E6E87D4">
      <w:pPr>
        <w:pStyle w:val="Heading2"/>
        <w:numPr>
          <w:ilvl w:val="1"/>
          <w:numId w:val="29"/>
        </w:numPr>
        <w:rPr>
          <w:rFonts w:ascii="Calibri" w:hAnsi="Calibri" w:cs="Calibri"/>
          <w:b/>
          <w:bCs/>
          <w:color w:val="215E99" w:themeColor="text2" w:themeTint="BF"/>
          <w:sz w:val="28"/>
          <w:szCs w:val="28"/>
        </w:rPr>
      </w:pPr>
      <w:bookmarkStart w:name="_Toc190354101" w:id="12"/>
      <w:r w:rsidRPr="52C5CEAB">
        <w:rPr>
          <w:rFonts w:ascii="Calibri" w:hAnsi="Calibri" w:cs="Calibri"/>
          <w:b/>
          <w:bCs/>
          <w:color w:val="215E99" w:themeColor="text2" w:themeTint="BF"/>
          <w:sz w:val="28"/>
          <w:szCs w:val="28"/>
        </w:rPr>
        <w:t>Prevenzione della corruzione e trasparenza nelle attività amministrative</w:t>
      </w:r>
      <w:bookmarkEnd w:id="12"/>
    </w:p>
    <w:tbl>
      <w:tblPr>
        <w:tblW w:w="0" w:type="auto"/>
        <w:tblInd w:w="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2816"/>
        <w:gridCol w:w="6163"/>
      </w:tblGrid>
      <w:tr w:rsidRPr="00C13C56" w:rsidR="00DB6A2C" w:rsidTr="0071643C" w14:paraId="53E6E5C1" w14:textId="77777777">
        <w:trPr>
          <w:trHeight w:val="733"/>
        </w:trPr>
        <w:tc>
          <w:tcPr>
            <w:tcW w:w="2816" w:type="dxa"/>
            <w:vAlign w:val="center"/>
          </w:tcPr>
          <w:p w:rsidRPr="004178F2" w:rsidR="00DB6A2C" w:rsidP="0071643C" w:rsidRDefault="00DB6A2C" w14:paraId="3DBF8EDE" w14:textId="41AF3B99">
            <w:pPr>
              <w:kinsoku w:val="0"/>
              <w:overflowPunct w:val="0"/>
              <w:autoSpaceDE w:val="0"/>
              <w:autoSpaceDN w:val="0"/>
              <w:adjustRightInd w:val="0"/>
              <w:spacing w:before="97"/>
              <w:ind w:left="89"/>
              <w:rPr>
                <w:rFonts w:ascii="Calibri" w:hAnsi="Calibri" w:cs="Calibri" w:eastAsiaTheme="minorHAnsi"/>
                <w:color w:val="000000"/>
                <w:sz w:val="20"/>
                <w:szCs w:val="20"/>
                <w:lang w:eastAsia="en-US"/>
              </w:rPr>
            </w:pPr>
            <w:r w:rsidRPr="004178F2">
              <w:rPr>
                <w:rFonts w:ascii="Calibri" w:hAnsi="Calibri" w:cs="Calibri"/>
                <w:b/>
                <w:bCs/>
                <w:color w:val="0070C0"/>
                <w:sz w:val="20"/>
                <w:szCs w:val="20"/>
              </w:rPr>
              <w:t xml:space="preserve">Legge 6 novembre 2012, n. 190 </w:t>
            </w:r>
          </w:p>
        </w:tc>
        <w:tc>
          <w:tcPr>
            <w:tcW w:w="6163" w:type="dxa"/>
            <w:vAlign w:val="center"/>
          </w:tcPr>
          <w:p w:rsidRPr="004178F2" w:rsidR="00DB6A2C" w:rsidP="0071643C" w:rsidRDefault="00DB6A2C" w14:paraId="29B9B1CE" w14:textId="2ACBBD62">
            <w:pPr>
              <w:pStyle w:val="Default"/>
              <w:rPr>
                <w:sz w:val="20"/>
                <w:szCs w:val="20"/>
              </w:rPr>
            </w:pPr>
            <w:r w:rsidRPr="004178F2">
              <w:rPr>
                <w:sz w:val="20"/>
                <w:szCs w:val="20"/>
              </w:rPr>
              <w:t>Disposizioni per la prevenzione e la repressione della corruzione e dell'illegalità nella PA"</w:t>
            </w:r>
          </w:p>
        </w:tc>
      </w:tr>
      <w:tr w:rsidRPr="00C13C56" w:rsidR="00DB6A2C" w:rsidTr="0071643C" w14:paraId="4FB228BE" w14:textId="77777777">
        <w:trPr>
          <w:trHeight w:val="733"/>
        </w:trPr>
        <w:tc>
          <w:tcPr>
            <w:tcW w:w="2816" w:type="dxa"/>
            <w:vAlign w:val="center"/>
          </w:tcPr>
          <w:p w:rsidRPr="00C13C56" w:rsidR="00DB6A2C" w:rsidP="0071643C" w:rsidRDefault="00DB6A2C" w14:paraId="5C09069C" w14:textId="1BACCD57">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eastAsia="Calibri" w:cs="Calibri"/>
                <w:b/>
                <w:color w:val="0070C0"/>
                <w:sz w:val="20"/>
                <w:szCs w:val="20"/>
              </w:rPr>
              <w:t>Decreto Legislativo 14 marzo 2013, n. 33</w:t>
            </w:r>
          </w:p>
        </w:tc>
        <w:tc>
          <w:tcPr>
            <w:tcW w:w="6163" w:type="dxa"/>
            <w:vAlign w:val="center"/>
          </w:tcPr>
          <w:p w:rsidRPr="00C13C56" w:rsidR="00DB6A2C" w:rsidP="0071643C" w:rsidRDefault="00DB6A2C" w14:paraId="42B9099A" w14:textId="42577CA1">
            <w:pPr>
              <w:pStyle w:val="Default"/>
              <w:rPr>
                <w:sz w:val="20"/>
                <w:szCs w:val="20"/>
              </w:rPr>
            </w:pPr>
            <w:r w:rsidRPr="004178F2">
              <w:rPr>
                <w:sz w:val="20"/>
                <w:szCs w:val="20"/>
              </w:rPr>
              <w:t>"Riordino della disciplina riguardante gli obblighi di pubblicità, trasparenza e diffusione di informazioni da parte delle pubbliche amministrazioni"</w:t>
            </w:r>
          </w:p>
        </w:tc>
      </w:tr>
      <w:tr w:rsidRPr="00C13C56" w:rsidR="00EB3A93" w:rsidTr="0071643C" w14:paraId="225EA9D5" w14:textId="77777777">
        <w:trPr>
          <w:trHeight w:val="733"/>
        </w:trPr>
        <w:tc>
          <w:tcPr>
            <w:tcW w:w="2816" w:type="dxa"/>
            <w:vAlign w:val="center"/>
          </w:tcPr>
          <w:p w:rsidRPr="004178F2" w:rsidR="00EB3A93" w:rsidP="0071643C" w:rsidRDefault="00EB3A93" w14:paraId="19B14339" w14:textId="17D58630">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Decreto Legislativo 8 aprile 2013, n. 39</w:t>
            </w:r>
          </w:p>
        </w:tc>
        <w:tc>
          <w:tcPr>
            <w:tcW w:w="6163" w:type="dxa"/>
            <w:vAlign w:val="center"/>
          </w:tcPr>
          <w:p w:rsidRPr="00726022" w:rsidR="00EB3A93" w:rsidP="0071643C" w:rsidRDefault="00EB3A93" w14:paraId="406CA0B9" w14:textId="13B492D9">
            <w:pPr>
              <w:pStyle w:val="Default"/>
              <w:rPr>
                <w:rFonts w:ascii="Calibri Light" w:hAnsi="Calibri Light" w:eastAsia="Calibri" w:cs="Calibri Light"/>
                <w:sz w:val="22"/>
                <w:szCs w:val="22"/>
                <w:lang w:bidi="it-IT"/>
                <w14:ligatures w14:val="none"/>
              </w:rPr>
            </w:pPr>
            <w:r w:rsidRPr="004178F2">
              <w:rPr>
                <w:sz w:val="20"/>
                <w:szCs w:val="20"/>
              </w:rPr>
              <w:t xml:space="preserve">"Disposizioni in materia di </w:t>
            </w:r>
            <w:proofErr w:type="spellStart"/>
            <w:r w:rsidRPr="004178F2">
              <w:rPr>
                <w:sz w:val="20"/>
                <w:szCs w:val="20"/>
              </w:rPr>
              <w:t>inconferibilità</w:t>
            </w:r>
            <w:proofErr w:type="spellEnd"/>
            <w:r w:rsidRPr="004178F2">
              <w:rPr>
                <w:sz w:val="20"/>
                <w:szCs w:val="20"/>
              </w:rPr>
              <w:t xml:space="preserve"> e incompatibilità di incarichi presso le pubbliche amministrazioni e presso gli enti privati in controllo pubblico, a norma dell'articolo 1, commi 49 e 50, della legge 6 novembre 2012, n. 190".</w:t>
            </w:r>
          </w:p>
        </w:tc>
      </w:tr>
      <w:tr w:rsidRPr="00C13C56" w:rsidR="00EB3A93" w:rsidTr="0071643C" w14:paraId="76A30F0B" w14:textId="77777777">
        <w:trPr>
          <w:trHeight w:val="733"/>
        </w:trPr>
        <w:tc>
          <w:tcPr>
            <w:tcW w:w="2816" w:type="dxa"/>
            <w:vAlign w:val="center"/>
          </w:tcPr>
          <w:p w:rsidRPr="004178F2" w:rsidR="00EB3A93" w:rsidP="0071643C" w:rsidRDefault="00EB3A93" w14:paraId="66A23EF4" w14:textId="45E0BD52">
            <w:pPr>
              <w:pStyle w:val="Default"/>
              <w:rPr>
                <w:sz w:val="20"/>
                <w:szCs w:val="20"/>
              </w:rPr>
            </w:pPr>
            <w:r w:rsidRPr="004178F2">
              <w:rPr>
                <w:rFonts w:eastAsia="Times New Roman"/>
                <w:b/>
                <w:bCs/>
                <w:color w:val="0070C0"/>
                <w:sz w:val="20"/>
                <w:szCs w:val="20"/>
                <w:lang w:eastAsia="it-IT"/>
              </w:rPr>
              <w:t>Decreto del Presidente della Repubblica 16 aprile 2013, n. 62</w:t>
            </w:r>
          </w:p>
        </w:tc>
        <w:tc>
          <w:tcPr>
            <w:tcW w:w="6163" w:type="dxa"/>
            <w:vAlign w:val="center"/>
          </w:tcPr>
          <w:p w:rsidRPr="004178F2" w:rsidR="00EB3A93" w:rsidP="0071643C" w:rsidRDefault="00EB3A93" w14:paraId="79561651" w14:textId="485E72A2">
            <w:pPr>
              <w:pStyle w:val="Default"/>
              <w:rPr>
                <w:sz w:val="20"/>
                <w:szCs w:val="20"/>
              </w:rPr>
            </w:pPr>
            <w:r w:rsidRPr="004178F2">
              <w:rPr>
                <w:sz w:val="20"/>
                <w:szCs w:val="20"/>
              </w:rPr>
              <w:t>"Regolamento recante codice di comportamento dei dipendenti pubblici, a norma dell'articolo 54 del decreto legislativo 30 marzo 2001, n. 165"</w:t>
            </w:r>
          </w:p>
        </w:tc>
      </w:tr>
      <w:tr w:rsidRPr="00C13C56" w:rsidR="00EB3A93" w:rsidTr="0071643C" w14:paraId="435A0E7B" w14:textId="77777777">
        <w:trPr>
          <w:trHeight w:val="733"/>
        </w:trPr>
        <w:tc>
          <w:tcPr>
            <w:tcW w:w="2816" w:type="dxa"/>
            <w:vAlign w:val="center"/>
          </w:tcPr>
          <w:p w:rsidRPr="00726022" w:rsidR="00EB3A93" w:rsidP="0071643C" w:rsidRDefault="00EB3A93" w14:paraId="4EE0E0EE" w14:textId="125564A3">
            <w:pPr>
              <w:kinsoku w:val="0"/>
              <w:overflowPunct w:val="0"/>
              <w:autoSpaceDE w:val="0"/>
              <w:autoSpaceDN w:val="0"/>
              <w:adjustRightInd w:val="0"/>
              <w:spacing w:before="97"/>
              <w:ind w:left="89"/>
              <w:rPr>
                <w:rFonts w:ascii="Calibri Light" w:hAnsi="Calibri Light" w:eastAsia="Calibri" w:cs="Calibri Light"/>
                <w:sz w:val="22"/>
                <w:szCs w:val="22"/>
                <w:lang w:bidi="it-IT"/>
                <w14:ligatures w14:val="none"/>
              </w:rPr>
            </w:pPr>
            <w:r w:rsidRPr="004178F2">
              <w:rPr>
                <w:rFonts w:ascii="Calibri" w:hAnsi="Calibri" w:cs="Calibri"/>
                <w:b/>
                <w:bCs/>
                <w:color w:val="0070C0"/>
                <w:sz w:val="20"/>
                <w:szCs w:val="20"/>
              </w:rPr>
              <w:t>Decreto Legislativo 25 maggio 2016, n. 97</w:t>
            </w:r>
          </w:p>
        </w:tc>
        <w:tc>
          <w:tcPr>
            <w:tcW w:w="6163" w:type="dxa"/>
            <w:vAlign w:val="center"/>
          </w:tcPr>
          <w:p w:rsidRPr="00726022" w:rsidR="00EB3A93" w:rsidP="0071643C" w:rsidRDefault="00EB3A93" w14:paraId="2421E4FA" w14:textId="64B99A07">
            <w:pPr>
              <w:pStyle w:val="Default"/>
              <w:rPr>
                <w:rFonts w:ascii="Calibri Light" w:hAnsi="Calibri Light" w:eastAsia="Calibri" w:cs="Calibri Light"/>
                <w:sz w:val="22"/>
                <w:szCs w:val="22"/>
                <w:lang w:bidi="it-IT"/>
                <w14:ligatures w14:val="none"/>
              </w:rPr>
            </w:pPr>
            <w:r w:rsidRPr="004178F2">
              <w:rPr>
                <w:sz w:val="20"/>
                <w:szCs w:val="20"/>
              </w:rPr>
              <w:t>"Revisione e semplificazione delle disposizioni in materia di prevenzione della corruzione, pubblicità e trasparenza, correttivo della legge 6 novembre 2012, n. 190 e del decreto legislativo 14 marzo 2013 n. 33, ai sensi dell'articolo 7 della legge 7 agosto 2015 n. 124, in materia di riorganizzazione delle amministrazioni pubbliche".</w:t>
            </w:r>
          </w:p>
        </w:tc>
      </w:tr>
      <w:tr w:rsidRPr="00C13C56" w:rsidR="00EB3A93" w:rsidTr="0071643C" w14:paraId="3693FCD7" w14:textId="77777777">
        <w:trPr>
          <w:trHeight w:val="733"/>
        </w:trPr>
        <w:tc>
          <w:tcPr>
            <w:tcW w:w="2816" w:type="dxa"/>
            <w:vAlign w:val="center"/>
          </w:tcPr>
          <w:p w:rsidRPr="00726022" w:rsidR="00EB3A93" w:rsidP="0071643C" w:rsidRDefault="00EB3A93" w14:paraId="05738F5E" w14:textId="31A43709">
            <w:pPr>
              <w:kinsoku w:val="0"/>
              <w:overflowPunct w:val="0"/>
              <w:autoSpaceDE w:val="0"/>
              <w:autoSpaceDN w:val="0"/>
              <w:adjustRightInd w:val="0"/>
              <w:spacing w:before="97"/>
              <w:ind w:left="89"/>
              <w:rPr>
                <w:rFonts w:ascii="Calibri Light" w:hAnsi="Calibri Light" w:eastAsia="Calibri" w:cs="Calibri Light"/>
                <w:sz w:val="22"/>
                <w:szCs w:val="22"/>
                <w:lang w:bidi="it-IT"/>
                <w14:ligatures w14:val="none"/>
              </w:rPr>
            </w:pPr>
            <w:r w:rsidRPr="004178F2">
              <w:rPr>
                <w:rFonts w:ascii="Calibri" w:hAnsi="Calibri" w:cs="Calibri"/>
                <w:b/>
                <w:bCs/>
                <w:color w:val="0070C0"/>
                <w:sz w:val="20"/>
                <w:szCs w:val="20"/>
              </w:rPr>
              <w:t>Determinazione A.N.AC. 28 dicembre 2016, n. 1309</w:t>
            </w:r>
          </w:p>
        </w:tc>
        <w:tc>
          <w:tcPr>
            <w:tcW w:w="6163" w:type="dxa"/>
            <w:vAlign w:val="center"/>
          </w:tcPr>
          <w:p w:rsidRPr="00726022" w:rsidR="00EB3A93" w:rsidP="0071643C" w:rsidRDefault="00EB3A93" w14:paraId="3D4FB9B4" w14:textId="52783EB2">
            <w:pPr>
              <w:pStyle w:val="Default"/>
              <w:rPr>
                <w:rFonts w:ascii="Calibri Light" w:hAnsi="Calibri Light" w:eastAsia="Calibri" w:cs="Calibri Light"/>
                <w:sz w:val="22"/>
                <w:szCs w:val="22"/>
                <w:lang w:bidi="it-IT"/>
                <w14:ligatures w14:val="none"/>
              </w:rPr>
            </w:pPr>
            <w:r w:rsidRPr="004178F2">
              <w:rPr>
                <w:sz w:val="20"/>
                <w:szCs w:val="20"/>
              </w:rPr>
              <w:t>"Linee guida recanti indicazioni operative ai fini della definizione delle esclusioni e dei limiti all'accesso civico di cui all'art. 5 co. 2 del D. Lgs. 33/2013"</w:t>
            </w:r>
          </w:p>
        </w:tc>
      </w:tr>
      <w:tr w:rsidRPr="00C13C56" w:rsidR="00EB3A93" w:rsidTr="0071643C" w14:paraId="3F2AF576" w14:textId="77777777">
        <w:trPr>
          <w:trHeight w:val="733"/>
        </w:trPr>
        <w:tc>
          <w:tcPr>
            <w:tcW w:w="2816" w:type="dxa"/>
            <w:vAlign w:val="center"/>
          </w:tcPr>
          <w:p w:rsidRPr="004178F2" w:rsidR="00EB3A93" w:rsidP="0071643C" w:rsidRDefault="00EB3A93" w14:paraId="7E368CF8" w14:textId="58727B8A">
            <w:pPr>
              <w:widowControl w:val="0"/>
              <w:tabs>
                <w:tab w:val="left" w:pos="709"/>
              </w:tabs>
              <w:autoSpaceDE w:val="0"/>
              <w:autoSpaceDN w:val="0"/>
              <w:spacing w:before="120"/>
              <w:ind w:left="128"/>
              <w:rPr>
                <w:rFonts w:ascii="Calibri Light" w:hAnsi="Calibri Light" w:eastAsia="Calibri" w:cs="Calibri Light"/>
                <w:sz w:val="22"/>
                <w:szCs w:val="22"/>
                <w:u w:val="single"/>
                <w:lang w:bidi="it-IT"/>
                <w14:ligatures w14:val="none"/>
              </w:rPr>
            </w:pPr>
            <w:r w:rsidRPr="004178F2">
              <w:rPr>
                <w:rFonts w:ascii="Calibri" w:hAnsi="Calibri" w:cs="Calibri"/>
                <w:b/>
                <w:bCs/>
                <w:color w:val="0070C0"/>
                <w:sz w:val="20"/>
                <w:szCs w:val="20"/>
              </w:rPr>
              <w:t>Determinazione A.N.AC. 28</w:t>
            </w:r>
            <w:r>
              <w:rPr>
                <w:rFonts w:ascii="Calibri" w:hAnsi="Calibri" w:cs="Calibri"/>
                <w:b/>
                <w:bCs/>
                <w:color w:val="0070C0"/>
                <w:sz w:val="20"/>
                <w:szCs w:val="20"/>
              </w:rPr>
              <w:t xml:space="preserve"> </w:t>
            </w:r>
            <w:r w:rsidRPr="004178F2">
              <w:rPr>
                <w:rFonts w:ascii="Calibri" w:hAnsi="Calibri" w:cs="Calibri"/>
                <w:b/>
                <w:bCs/>
                <w:color w:val="0070C0"/>
                <w:sz w:val="20"/>
                <w:szCs w:val="20"/>
              </w:rPr>
              <w:t>dicembre 2016, n. 1310</w:t>
            </w:r>
          </w:p>
        </w:tc>
        <w:tc>
          <w:tcPr>
            <w:tcW w:w="6163" w:type="dxa"/>
            <w:vAlign w:val="center"/>
          </w:tcPr>
          <w:p w:rsidRPr="004178F2" w:rsidR="00EB3A93" w:rsidP="0006638A" w:rsidRDefault="0062132A" w14:paraId="0DCAFBCF" w14:textId="2D41BCBE">
            <w:pPr>
              <w:pStyle w:val="Default"/>
              <w:rPr>
                <w:sz w:val="20"/>
                <w:szCs w:val="20"/>
              </w:rPr>
            </w:pPr>
            <w:r w:rsidRPr="004178F2">
              <w:rPr>
                <w:sz w:val="20"/>
                <w:szCs w:val="20"/>
              </w:rPr>
              <w:t>Prime linee guida recanti indicazioni sull'attuazione degli obblighi di pubblicità, trasparenza e diffusione di informazioni contenute nel d.lgs. 33/2013 come modificato dal d.lgs. 97/2016".</w:t>
            </w:r>
          </w:p>
        </w:tc>
      </w:tr>
      <w:tr w:rsidRPr="00C13C56" w:rsidR="00EB3A93" w:rsidTr="0071643C" w14:paraId="785E1E96" w14:textId="77777777">
        <w:trPr>
          <w:trHeight w:val="733"/>
        </w:trPr>
        <w:tc>
          <w:tcPr>
            <w:tcW w:w="2816" w:type="dxa"/>
            <w:vAlign w:val="center"/>
          </w:tcPr>
          <w:p w:rsidRPr="00726022" w:rsidR="00EB3A93" w:rsidP="0071643C" w:rsidRDefault="0062132A" w14:paraId="4CA8F68D" w14:textId="3211B5F3">
            <w:pPr>
              <w:kinsoku w:val="0"/>
              <w:overflowPunct w:val="0"/>
              <w:autoSpaceDE w:val="0"/>
              <w:autoSpaceDN w:val="0"/>
              <w:adjustRightInd w:val="0"/>
              <w:spacing w:before="97"/>
              <w:ind w:left="89"/>
              <w:rPr>
                <w:rFonts w:ascii="Calibri Light" w:hAnsi="Calibri Light" w:eastAsia="Calibri" w:cs="Calibri Light"/>
                <w:sz w:val="22"/>
                <w:szCs w:val="22"/>
                <w:lang w:bidi="it-IT"/>
                <w14:ligatures w14:val="none"/>
              </w:rPr>
            </w:pPr>
            <w:r w:rsidRPr="004178F2">
              <w:rPr>
                <w:rFonts w:ascii="Calibri" w:hAnsi="Calibri" w:cs="Calibri"/>
                <w:b/>
                <w:bCs/>
                <w:color w:val="0070C0"/>
                <w:sz w:val="20"/>
                <w:szCs w:val="20"/>
              </w:rPr>
              <w:t>Determinazione A.N.AC. 8 novembre 2017, n. 1134</w:t>
            </w:r>
          </w:p>
        </w:tc>
        <w:tc>
          <w:tcPr>
            <w:tcW w:w="6163" w:type="dxa"/>
            <w:vAlign w:val="center"/>
          </w:tcPr>
          <w:p w:rsidRPr="00726022" w:rsidR="00EB3A93" w:rsidP="0071643C" w:rsidRDefault="0062132A" w14:paraId="09074E93" w14:textId="1642596F">
            <w:pPr>
              <w:pStyle w:val="Default"/>
              <w:rPr>
                <w:rFonts w:ascii="Calibri Light" w:hAnsi="Calibri Light" w:eastAsia="Calibri" w:cs="Calibri Light"/>
                <w:sz w:val="22"/>
                <w:szCs w:val="22"/>
                <w:lang w:bidi="it-IT"/>
                <w14:ligatures w14:val="none"/>
              </w:rPr>
            </w:pPr>
            <w:r w:rsidRPr="004178F2">
              <w:rPr>
                <w:sz w:val="20"/>
                <w:szCs w:val="20"/>
              </w:rPr>
              <w:t>"Nuove linee guida per l'attuazione della normativa in materia di prevenzione della corruzione e trasparenza da parte delle società e degli enti di diritto privato controllati e partecipati dalle pubbliche amministrazioni e degli enti pubblici economici"</w:t>
            </w:r>
          </w:p>
        </w:tc>
      </w:tr>
    </w:tbl>
    <w:p w:rsidRPr="00DC6DAA" w:rsidR="0062132A" w:rsidP="009C5076" w:rsidRDefault="52C5CEAB" w14:paraId="089D1553" w14:textId="37EA912C">
      <w:pPr>
        <w:pStyle w:val="Heading2"/>
        <w:numPr>
          <w:ilvl w:val="1"/>
          <w:numId w:val="29"/>
        </w:numPr>
        <w:rPr>
          <w:rFonts w:ascii="Calibri" w:hAnsi="Calibri" w:cs="Calibri"/>
          <w:b/>
          <w:bCs/>
          <w:color w:val="215E99" w:themeColor="text2" w:themeTint="BF"/>
          <w:sz w:val="28"/>
          <w:szCs w:val="28"/>
        </w:rPr>
      </w:pPr>
      <w:bookmarkStart w:name="_Toc190354102" w:id="13"/>
      <w:r w:rsidRPr="52C5CEAB">
        <w:rPr>
          <w:rFonts w:ascii="Calibri" w:hAnsi="Calibri" w:cs="Calibri"/>
          <w:b/>
          <w:bCs/>
          <w:color w:val="215E99" w:themeColor="text2" w:themeTint="BF"/>
          <w:sz w:val="28"/>
          <w:szCs w:val="28"/>
        </w:rPr>
        <w:t>Altri documenti di interesse</w:t>
      </w:r>
      <w:bookmarkEnd w:id="13"/>
      <w:r w:rsidRPr="52C5CEAB">
        <w:rPr>
          <w:rFonts w:ascii="Calibri" w:hAnsi="Calibri" w:cs="Calibri"/>
          <w:b/>
          <w:bCs/>
          <w:color w:val="215E99" w:themeColor="text2" w:themeTint="BF"/>
          <w:sz w:val="28"/>
          <w:szCs w:val="28"/>
        </w:rPr>
        <w:t xml:space="preserve"> </w:t>
      </w:r>
    </w:p>
    <w:tbl>
      <w:tblPr>
        <w:tblW w:w="0" w:type="auto"/>
        <w:tblInd w:w="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2816"/>
        <w:gridCol w:w="6163"/>
      </w:tblGrid>
      <w:tr w:rsidRPr="00C13C56" w:rsidR="0062132A" w:rsidTr="07433F88" w14:paraId="071B8D80" w14:textId="77777777">
        <w:trPr>
          <w:trHeight w:val="733"/>
        </w:trPr>
        <w:tc>
          <w:tcPr>
            <w:tcW w:w="2816" w:type="dxa"/>
            <w:vAlign w:val="center"/>
          </w:tcPr>
          <w:p w:rsidRPr="00C13C56" w:rsidR="0062132A" w:rsidP="0071643C" w:rsidRDefault="0062132A" w14:paraId="0D47B618" w14:textId="5685FCBA">
            <w:pPr>
              <w:kinsoku w:val="0"/>
              <w:overflowPunct w:val="0"/>
              <w:autoSpaceDE w:val="0"/>
              <w:autoSpaceDN w:val="0"/>
              <w:adjustRightInd w:val="0"/>
              <w:spacing w:before="97"/>
              <w:ind w:left="89"/>
              <w:rPr>
                <w:rFonts w:ascii="Calibri" w:hAnsi="Calibri" w:cs="Calibri" w:eastAsiaTheme="minorHAnsi"/>
                <w:color w:val="000000"/>
                <w:sz w:val="20"/>
                <w:szCs w:val="20"/>
                <w:lang w:eastAsia="en-US"/>
              </w:rPr>
            </w:pPr>
            <w:r w:rsidRPr="004178F2">
              <w:rPr>
                <w:rFonts w:ascii="Calibri" w:hAnsi="Calibri" w:cs="Calibri"/>
                <w:b/>
                <w:bCs/>
                <w:color w:val="0070C0"/>
                <w:sz w:val="20"/>
                <w:szCs w:val="20"/>
              </w:rPr>
              <w:t xml:space="preserve">Nota EGESIF 15-0018-02 del 9 febbraio 2016 </w:t>
            </w:r>
            <w:r w:rsidRPr="00C13C56">
              <w:rPr>
                <w:rFonts w:ascii="Calibri" w:hAnsi="Calibri" w:cs="Calibri"/>
                <w:b/>
                <w:bCs/>
                <w:color w:val="0070C0"/>
                <w:sz w:val="20"/>
                <w:szCs w:val="20"/>
              </w:rPr>
              <w:t xml:space="preserve"> </w:t>
            </w:r>
          </w:p>
        </w:tc>
        <w:tc>
          <w:tcPr>
            <w:tcW w:w="6163" w:type="dxa"/>
            <w:vAlign w:val="center"/>
          </w:tcPr>
          <w:p w:rsidRPr="0062132A" w:rsidR="0062132A" w:rsidP="0071643C" w:rsidRDefault="0062132A" w14:paraId="13217F41" w14:textId="1F9C07F4">
            <w:pPr>
              <w:rPr>
                <w:rFonts w:eastAsiaTheme="minorHAnsi"/>
                <w:sz w:val="20"/>
                <w:szCs w:val="20"/>
              </w:rPr>
            </w:pPr>
            <w:r w:rsidRPr="004178F2">
              <w:rPr>
                <w:rFonts w:ascii="Calibri" w:hAnsi="Calibri" w:cs="Calibri" w:eastAsiaTheme="minorHAnsi"/>
                <w:color w:val="000000"/>
                <w:sz w:val="20"/>
                <w:szCs w:val="20"/>
                <w:lang w:eastAsia="en-US"/>
              </w:rPr>
              <w:t>“Linee guida per gli Stati membri sulla preparazione,</w:t>
            </w:r>
            <w:r w:rsidR="00D20CF2">
              <w:rPr>
                <w:rFonts w:ascii="Calibri" w:hAnsi="Calibri" w:cs="Calibri" w:eastAsiaTheme="minorHAnsi"/>
                <w:color w:val="000000"/>
                <w:sz w:val="20"/>
                <w:szCs w:val="20"/>
                <w:lang w:eastAsia="en-US"/>
              </w:rPr>
              <w:t xml:space="preserve"> </w:t>
            </w:r>
            <w:r w:rsidRPr="004178F2">
              <w:rPr>
                <w:rFonts w:ascii="Calibri" w:hAnsi="Calibri" w:cs="Calibri" w:eastAsiaTheme="minorHAnsi"/>
                <w:color w:val="000000"/>
                <w:sz w:val="20"/>
                <w:szCs w:val="20"/>
                <w:lang w:eastAsia="en-US"/>
              </w:rPr>
              <w:t>sull’esame e sull’accettazione dei conti”.</w:t>
            </w:r>
          </w:p>
        </w:tc>
      </w:tr>
      <w:tr w:rsidRPr="00C13C56" w:rsidR="0062132A" w:rsidTr="07433F88" w14:paraId="06228636" w14:textId="77777777">
        <w:trPr>
          <w:trHeight w:val="733"/>
        </w:trPr>
        <w:tc>
          <w:tcPr>
            <w:tcW w:w="2816" w:type="dxa"/>
            <w:vAlign w:val="center"/>
          </w:tcPr>
          <w:p w:rsidRPr="004178F2" w:rsidR="0062132A" w:rsidP="0071643C" w:rsidRDefault="002E255A" w14:paraId="47101368" w14:textId="4D70EB92">
            <w:pPr>
              <w:kinsoku w:val="0"/>
              <w:overflowPunct w:val="0"/>
              <w:autoSpaceDE w:val="0"/>
              <w:autoSpaceDN w:val="0"/>
              <w:adjustRightInd w:val="0"/>
              <w:spacing w:before="97"/>
              <w:ind w:left="89"/>
              <w:rPr>
                <w:rFonts w:ascii="Calibri" w:hAnsi="Calibri" w:cs="Calibri" w:eastAsiaTheme="minorHAnsi"/>
                <w:color w:val="000000"/>
                <w:sz w:val="20"/>
                <w:szCs w:val="20"/>
                <w:lang w:eastAsia="en-US"/>
              </w:rPr>
            </w:pPr>
            <w:r w:rsidRPr="004178F2">
              <w:rPr>
                <w:rFonts w:ascii="Calibri" w:hAnsi="Calibri" w:cs="Calibri"/>
                <w:b/>
                <w:bCs/>
                <w:color w:val="0070C0"/>
                <w:sz w:val="20"/>
                <w:szCs w:val="20"/>
              </w:rPr>
              <w:t>Nota EGESIF_15-0017-02 del 25 gennaio 2016</w:t>
            </w:r>
          </w:p>
        </w:tc>
        <w:tc>
          <w:tcPr>
            <w:tcW w:w="6163" w:type="dxa"/>
            <w:vAlign w:val="center"/>
          </w:tcPr>
          <w:p w:rsidRPr="0071643C" w:rsidR="0062132A" w:rsidP="0071643C" w:rsidRDefault="002E255A" w14:paraId="4EC5678E" w14:textId="0696DF7C">
            <w:pPr>
              <w:rPr>
                <w:rFonts w:ascii="Calibri" w:hAnsi="Calibri" w:cs="Calibri" w:eastAsiaTheme="minorHAnsi"/>
                <w:color w:val="000000"/>
                <w:sz w:val="20"/>
                <w:szCs w:val="20"/>
                <w:lang w:eastAsia="en-US"/>
              </w:rPr>
            </w:pPr>
            <w:r w:rsidRPr="004178F2">
              <w:rPr>
                <w:rFonts w:ascii="Calibri" w:hAnsi="Calibri" w:cs="Calibri" w:eastAsiaTheme="minorHAnsi"/>
                <w:color w:val="000000"/>
                <w:sz w:val="20"/>
                <w:szCs w:val="20"/>
                <w:lang w:eastAsia="en-US"/>
              </w:rPr>
              <w:t>“Guida orientativa per gli Stati membri sugli importi</w:t>
            </w:r>
            <w:r w:rsidR="00D20CF2">
              <w:rPr>
                <w:rFonts w:ascii="Calibri" w:hAnsi="Calibri" w:cs="Calibri" w:eastAsiaTheme="minorHAnsi"/>
                <w:color w:val="000000"/>
                <w:sz w:val="20"/>
                <w:szCs w:val="20"/>
                <w:lang w:eastAsia="en-US"/>
              </w:rPr>
              <w:t xml:space="preserve"> </w:t>
            </w:r>
            <w:r w:rsidRPr="004178F2">
              <w:rPr>
                <w:rFonts w:ascii="Calibri" w:hAnsi="Calibri" w:cs="Calibri" w:eastAsiaTheme="minorHAnsi"/>
                <w:color w:val="000000"/>
                <w:sz w:val="20"/>
                <w:szCs w:val="20"/>
                <w:lang w:eastAsia="en-US"/>
              </w:rPr>
              <w:t>ritirati, recuperati, da recuperare e non recuperabili”.</w:t>
            </w:r>
          </w:p>
        </w:tc>
      </w:tr>
      <w:tr w:rsidRPr="00C13C56" w:rsidR="0062132A" w:rsidTr="07433F88" w14:paraId="3AA8210D" w14:textId="77777777">
        <w:trPr>
          <w:trHeight w:val="733"/>
        </w:trPr>
        <w:tc>
          <w:tcPr>
            <w:tcW w:w="2816" w:type="dxa"/>
            <w:vAlign w:val="center"/>
          </w:tcPr>
          <w:p w:rsidRPr="00C13C56" w:rsidR="0062132A" w:rsidP="0071643C" w:rsidRDefault="002E255A" w14:paraId="75836E00" w14:textId="316DB243">
            <w:pPr>
              <w:kinsoku w:val="0"/>
              <w:overflowPunct w:val="0"/>
              <w:autoSpaceDE w:val="0"/>
              <w:autoSpaceDN w:val="0"/>
              <w:adjustRightInd w:val="0"/>
              <w:spacing w:before="97"/>
              <w:ind w:left="89"/>
              <w:rPr>
                <w:rFonts w:ascii="Calibri" w:hAnsi="Calibri" w:cs="Calibri"/>
                <w:b/>
                <w:bCs/>
                <w:color w:val="0070C0"/>
                <w:sz w:val="20"/>
                <w:szCs w:val="20"/>
              </w:rPr>
            </w:pPr>
            <w:r w:rsidRPr="004178F2">
              <w:rPr>
                <w:rFonts w:ascii="Calibri" w:hAnsi="Calibri" w:cs="Calibri"/>
                <w:b/>
                <w:bCs/>
                <w:color w:val="0070C0"/>
                <w:sz w:val="20"/>
                <w:szCs w:val="20"/>
              </w:rPr>
              <w:t>Nota EGESIF_14-0012_02 del 17 settembre 2015</w:t>
            </w:r>
          </w:p>
        </w:tc>
        <w:tc>
          <w:tcPr>
            <w:tcW w:w="6163" w:type="dxa"/>
            <w:vAlign w:val="center"/>
          </w:tcPr>
          <w:p w:rsidRPr="0071643C" w:rsidR="0062132A" w:rsidP="0071643C" w:rsidRDefault="002E255A" w14:paraId="4E1FF288" w14:textId="54119894">
            <w:pPr>
              <w:rPr>
                <w:rFonts w:ascii="Calibri" w:hAnsi="Calibri" w:cs="Calibri" w:eastAsiaTheme="minorHAnsi"/>
                <w:color w:val="000000"/>
                <w:sz w:val="20"/>
                <w:szCs w:val="20"/>
                <w:lang w:eastAsia="en-US"/>
              </w:rPr>
            </w:pPr>
            <w:r w:rsidRPr="004178F2">
              <w:rPr>
                <w:rFonts w:ascii="Calibri" w:hAnsi="Calibri" w:cs="Calibri" w:eastAsiaTheme="minorHAnsi"/>
                <w:color w:val="000000"/>
                <w:sz w:val="20"/>
                <w:szCs w:val="20"/>
                <w:lang w:eastAsia="en-US"/>
              </w:rPr>
              <w:t>“Linee guida per gli Stati membri sulle verifiche di</w:t>
            </w:r>
            <w:r w:rsidR="00D20CF2">
              <w:rPr>
                <w:rFonts w:ascii="Calibri" w:hAnsi="Calibri" w:cs="Calibri" w:eastAsiaTheme="minorHAnsi"/>
                <w:color w:val="000000"/>
                <w:sz w:val="20"/>
                <w:szCs w:val="20"/>
                <w:lang w:eastAsia="en-US"/>
              </w:rPr>
              <w:t xml:space="preserve"> </w:t>
            </w:r>
            <w:r w:rsidRPr="004178F2">
              <w:rPr>
                <w:rFonts w:ascii="Calibri" w:hAnsi="Calibri" w:cs="Calibri" w:eastAsiaTheme="minorHAnsi"/>
                <w:color w:val="000000"/>
                <w:sz w:val="20"/>
                <w:szCs w:val="20"/>
                <w:lang w:eastAsia="en-US"/>
              </w:rPr>
              <w:t>gestione per il periodo di programmazione 2014-2020”.</w:t>
            </w:r>
          </w:p>
        </w:tc>
      </w:tr>
      <w:tr w:rsidRPr="00C13C56" w:rsidR="002E255A" w:rsidTr="07433F88" w14:paraId="0416D23C" w14:textId="77777777">
        <w:trPr>
          <w:trHeight w:val="733"/>
        </w:trPr>
        <w:tc>
          <w:tcPr>
            <w:tcW w:w="2816" w:type="dxa"/>
            <w:vAlign w:val="center"/>
          </w:tcPr>
          <w:p w:rsidRPr="00CD5740" w:rsidR="002E255A" w:rsidP="0071643C" w:rsidRDefault="002E255A" w14:paraId="455335EB" w14:textId="5D35A8DB">
            <w:pPr>
              <w:widowControl w:val="0"/>
              <w:tabs>
                <w:tab w:val="left" w:pos="709"/>
              </w:tabs>
              <w:autoSpaceDE w:val="0"/>
              <w:autoSpaceDN w:val="0"/>
              <w:spacing w:before="120"/>
              <w:ind w:left="128"/>
            </w:pPr>
            <w:r w:rsidRPr="004178F2">
              <w:rPr>
                <w:rFonts w:ascii="Calibri" w:hAnsi="Calibri" w:cs="Calibri"/>
                <w:b/>
                <w:bCs/>
                <w:color w:val="0070C0"/>
                <w:sz w:val="20"/>
                <w:szCs w:val="20"/>
              </w:rPr>
              <w:t>Nota EGESIF 15-0008-03 del 19 agosto 2015</w:t>
            </w:r>
          </w:p>
        </w:tc>
        <w:tc>
          <w:tcPr>
            <w:tcW w:w="6163" w:type="dxa"/>
            <w:vAlign w:val="center"/>
          </w:tcPr>
          <w:p w:rsidRPr="0071643C" w:rsidR="002E255A" w:rsidP="0071643C" w:rsidRDefault="002E255A" w14:paraId="2448489F" w14:textId="18AA7708">
            <w:pPr>
              <w:rPr>
                <w:rFonts w:ascii="Calibri" w:hAnsi="Calibri" w:cs="Calibri" w:eastAsiaTheme="minorHAnsi"/>
                <w:color w:val="000000"/>
                <w:sz w:val="20"/>
                <w:szCs w:val="20"/>
                <w:lang w:eastAsia="en-US"/>
              </w:rPr>
            </w:pPr>
            <w:r w:rsidRPr="004178F2">
              <w:rPr>
                <w:rFonts w:ascii="Calibri" w:hAnsi="Calibri" w:cs="Calibri" w:eastAsiaTheme="minorHAnsi"/>
                <w:color w:val="000000"/>
                <w:sz w:val="20"/>
                <w:szCs w:val="20"/>
                <w:lang w:eastAsia="en-US"/>
              </w:rPr>
              <w:t>“Linee guida per gli Stati membri sull’elaborazione della</w:t>
            </w:r>
            <w:r w:rsidR="00D20CF2">
              <w:rPr>
                <w:rFonts w:ascii="Calibri" w:hAnsi="Calibri" w:cs="Calibri" w:eastAsiaTheme="minorHAnsi"/>
                <w:color w:val="000000"/>
                <w:sz w:val="20"/>
                <w:szCs w:val="20"/>
                <w:lang w:eastAsia="en-US"/>
              </w:rPr>
              <w:t xml:space="preserve"> </w:t>
            </w:r>
            <w:r w:rsidRPr="004178F2">
              <w:rPr>
                <w:rFonts w:ascii="Calibri" w:hAnsi="Calibri" w:cs="Calibri" w:eastAsiaTheme="minorHAnsi"/>
                <w:color w:val="000000"/>
                <w:sz w:val="20"/>
                <w:szCs w:val="20"/>
                <w:lang w:eastAsia="en-US"/>
              </w:rPr>
              <w:t>dichiarazione di affidabilità di gestione e della sintesi annuale”.</w:t>
            </w:r>
          </w:p>
        </w:tc>
      </w:tr>
      <w:tr w:rsidRPr="00C13C56" w:rsidR="002E255A" w:rsidTr="07433F88" w14:paraId="66F720D7" w14:textId="77777777">
        <w:trPr>
          <w:trHeight w:val="733"/>
        </w:trPr>
        <w:tc>
          <w:tcPr>
            <w:tcW w:w="2816" w:type="dxa"/>
            <w:vAlign w:val="center"/>
          </w:tcPr>
          <w:p w:rsidRPr="00CD5740" w:rsidR="002E255A" w:rsidP="0071643C" w:rsidRDefault="002E255A" w14:paraId="1F61ECE1" w14:textId="6BD92D25">
            <w:pPr>
              <w:widowControl w:val="0"/>
              <w:tabs>
                <w:tab w:val="left" w:pos="709"/>
              </w:tabs>
              <w:autoSpaceDE w:val="0"/>
              <w:autoSpaceDN w:val="0"/>
              <w:spacing w:before="120"/>
              <w:ind w:left="128"/>
            </w:pPr>
            <w:r w:rsidRPr="004178F2">
              <w:rPr>
                <w:rFonts w:ascii="Calibri" w:hAnsi="Calibri" w:cs="Calibri"/>
                <w:b/>
                <w:bCs/>
                <w:color w:val="0070C0"/>
                <w:sz w:val="20"/>
                <w:szCs w:val="20"/>
              </w:rPr>
              <w:t>Nota EGESIF_15_0018-02, del 19 agosto 2015</w:t>
            </w:r>
          </w:p>
        </w:tc>
        <w:tc>
          <w:tcPr>
            <w:tcW w:w="6163" w:type="dxa"/>
            <w:vAlign w:val="center"/>
          </w:tcPr>
          <w:p w:rsidRPr="004178F2" w:rsidR="002E255A" w:rsidP="0071643C" w:rsidRDefault="002E255A" w14:paraId="0AC948B6" w14:textId="7D3A20A2">
            <w:pPr>
              <w:rPr>
                <w:rFonts w:ascii="Calibri" w:hAnsi="Calibri" w:cs="Calibri" w:eastAsiaTheme="minorHAnsi"/>
                <w:sz w:val="20"/>
                <w:szCs w:val="20"/>
              </w:rPr>
            </w:pPr>
            <w:r w:rsidRPr="004178F2">
              <w:rPr>
                <w:rFonts w:ascii="Calibri" w:hAnsi="Calibri" w:cs="Calibri" w:eastAsiaTheme="minorHAnsi"/>
                <w:color w:val="000000"/>
                <w:sz w:val="20"/>
                <w:szCs w:val="20"/>
                <w:lang w:eastAsia="en-US"/>
              </w:rPr>
              <w:t>“Guida orientativa per gli Stati membri sulla redazione</w:t>
            </w:r>
            <w:r w:rsidR="00D20CF2">
              <w:rPr>
                <w:rFonts w:ascii="Calibri" w:hAnsi="Calibri" w:cs="Calibri" w:eastAsiaTheme="minorHAnsi"/>
                <w:color w:val="000000"/>
                <w:sz w:val="20"/>
                <w:szCs w:val="20"/>
                <w:lang w:eastAsia="en-US"/>
              </w:rPr>
              <w:t xml:space="preserve"> </w:t>
            </w:r>
            <w:r w:rsidRPr="004178F2">
              <w:rPr>
                <w:rFonts w:ascii="Calibri" w:hAnsi="Calibri" w:cs="Calibri" w:eastAsiaTheme="minorHAnsi"/>
                <w:color w:val="000000"/>
                <w:sz w:val="20"/>
                <w:szCs w:val="20"/>
                <w:lang w:eastAsia="en-US"/>
              </w:rPr>
              <w:t>della Dichiarazione di gestione e del Riepilogo annuale”.</w:t>
            </w:r>
          </w:p>
        </w:tc>
      </w:tr>
      <w:tr w:rsidRPr="00C13C56" w:rsidR="002E255A" w:rsidTr="07433F88" w14:paraId="5489EC4D" w14:textId="77777777">
        <w:trPr>
          <w:trHeight w:val="733"/>
        </w:trPr>
        <w:tc>
          <w:tcPr>
            <w:tcW w:w="2816" w:type="dxa"/>
            <w:vAlign w:val="center"/>
          </w:tcPr>
          <w:p w:rsidRPr="00CD5740" w:rsidR="002E255A" w:rsidP="0071643C" w:rsidRDefault="002E255A" w14:paraId="358B51A3" w14:textId="7B21B5FD">
            <w:pPr>
              <w:widowControl w:val="0"/>
              <w:tabs>
                <w:tab w:val="left" w:pos="709"/>
              </w:tabs>
              <w:autoSpaceDE w:val="0"/>
              <w:autoSpaceDN w:val="0"/>
              <w:spacing w:before="120"/>
              <w:ind w:left="128"/>
            </w:pPr>
            <w:r w:rsidRPr="004178F2">
              <w:rPr>
                <w:rFonts w:ascii="Calibri" w:hAnsi="Calibri" w:cs="Calibri"/>
                <w:b/>
                <w:bCs/>
                <w:color w:val="0070C0"/>
                <w:sz w:val="20"/>
                <w:szCs w:val="20"/>
              </w:rPr>
              <w:t>Nota EGESIF 14-0010 final del 18 dicembre 2014</w:t>
            </w:r>
          </w:p>
        </w:tc>
        <w:tc>
          <w:tcPr>
            <w:tcW w:w="6163" w:type="dxa"/>
            <w:vAlign w:val="center"/>
          </w:tcPr>
          <w:p w:rsidRPr="004178F2" w:rsidR="002E255A" w:rsidP="0071643C" w:rsidRDefault="002E255A" w14:paraId="3CC7B57A" w14:textId="147ACF1C">
            <w:pPr>
              <w:rPr>
                <w:rFonts w:ascii="Calibri" w:hAnsi="Calibri" w:cs="Calibri" w:eastAsiaTheme="minorHAnsi"/>
                <w:sz w:val="20"/>
                <w:szCs w:val="20"/>
              </w:rPr>
            </w:pPr>
            <w:r w:rsidRPr="004178F2">
              <w:rPr>
                <w:rFonts w:ascii="Calibri" w:hAnsi="Calibri" w:cs="Calibri" w:eastAsiaTheme="minorHAnsi"/>
                <w:color w:val="000000"/>
                <w:sz w:val="20"/>
                <w:szCs w:val="20"/>
                <w:lang w:eastAsia="en-US"/>
              </w:rPr>
              <w:t>“Linee guida per la Commissione e gli Stati membri su una metodologia comune per la valutazione dei sistemi di gestione e di controllo negli Stati membri”.</w:t>
            </w:r>
          </w:p>
        </w:tc>
      </w:tr>
      <w:tr w:rsidRPr="00F2065A" w:rsidR="002E255A" w:rsidTr="07433F88" w14:paraId="33C65EBD" w14:textId="77777777">
        <w:trPr>
          <w:trHeight w:val="733"/>
        </w:trPr>
        <w:tc>
          <w:tcPr>
            <w:tcW w:w="2816" w:type="dxa"/>
            <w:vAlign w:val="center"/>
          </w:tcPr>
          <w:p w:rsidRPr="00CD5740" w:rsidR="002E255A" w:rsidP="0071643C" w:rsidRDefault="002E255A" w14:paraId="7436EEDE" w14:textId="57FEA622">
            <w:pPr>
              <w:widowControl w:val="0"/>
              <w:tabs>
                <w:tab w:val="left" w:pos="709"/>
              </w:tabs>
              <w:autoSpaceDE w:val="0"/>
              <w:autoSpaceDN w:val="0"/>
              <w:spacing w:before="120"/>
              <w:ind w:left="128"/>
            </w:pPr>
            <w:r w:rsidRPr="004178F2">
              <w:rPr>
                <w:rFonts w:ascii="Calibri" w:hAnsi="Calibri" w:cs="Calibri"/>
                <w:b/>
                <w:bCs/>
                <w:color w:val="0070C0"/>
                <w:sz w:val="20"/>
                <w:szCs w:val="20"/>
              </w:rPr>
              <w:t>Nota EGESIF 14-0030 del 29 agosto 2014</w:t>
            </w:r>
          </w:p>
        </w:tc>
        <w:tc>
          <w:tcPr>
            <w:tcW w:w="6163" w:type="dxa"/>
            <w:vAlign w:val="center"/>
          </w:tcPr>
          <w:p w:rsidRPr="004178F2" w:rsidR="002E255A" w:rsidP="0071643C" w:rsidRDefault="002E255A" w14:paraId="7A769F33" w14:textId="0F44D915">
            <w:pPr>
              <w:pStyle w:val="Default"/>
              <w:rPr>
                <w:sz w:val="20"/>
                <w:szCs w:val="20"/>
                <w:lang w:val="en-US"/>
              </w:rPr>
            </w:pPr>
            <w:r w:rsidRPr="004178F2">
              <w:rPr>
                <w:sz w:val="20"/>
                <w:szCs w:val="20"/>
                <w:lang w:val="en-US"/>
              </w:rPr>
              <w:t>“Guidance for practitioners on the avoidance of common errors in ESI Funded projects”.</w:t>
            </w:r>
          </w:p>
        </w:tc>
      </w:tr>
      <w:tr w:rsidRPr="00F2065A" w:rsidR="002E255A" w:rsidTr="07433F88" w14:paraId="1AFAF99F" w14:textId="77777777">
        <w:trPr>
          <w:trHeight w:val="733"/>
        </w:trPr>
        <w:tc>
          <w:tcPr>
            <w:tcW w:w="2816" w:type="dxa"/>
            <w:vAlign w:val="center"/>
          </w:tcPr>
          <w:p w:rsidRPr="004178F2" w:rsidR="002E255A" w:rsidP="0071643C" w:rsidRDefault="002E255A" w14:paraId="434FE0ED" w14:textId="1089ED21">
            <w:pPr>
              <w:widowControl w:val="0"/>
              <w:tabs>
                <w:tab w:val="left" w:pos="709"/>
              </w:tabs>
              <w:autoSpaceDE w:val="0"/>
              <w:autoSpaceDN w:val="0"/>
              <w:spacing w:before="120"/>
              <w:ind w:left="128"/>
              <w:rPr>
                <w:lang w:val="en-US"/>
              </w:rPr>
            </w:pPr>
            <w:r w:rsidRPr="004178F2">
              <w:rPr>
                <w:rFonts w:ascii="Calibri" w:hAnsi="Calibri" w:cs="Calibri"/>
                <w:b/>
                <w:bCs/>
                <w:color w:val="0070C0"/>
                <w:sz w:val="20"/>
                <w:szCs w:val="20"/>
              </w:rPr>
              <w:t>Ref. Ares (2014) 2195942 del 2 luglio 2014</w:t>
            </w:r>
          </w:p>
        </w:tc>
        <w:tc>
          <w:tcPr>
            <w:tcW w:w="6163" w:type="dxa"/>
            <w:vAlign w:val="center"/>
          </w:tcPr>
          <w:p w:rsidRPr="004178F2" w:rsidR="002E255A" w:rsidP="0071643C" w:rsidRDefault="002E255A" w14:paraId="6A74B970" w14:textId="05EC78AD">
            <w:pPr>
              <w:pStyle w:val="Default"/>
              <w:rPr>
                <w:sz w:val="20"/>
                <w:szCs w:val="20"/>
                <w:lang w:val="en-US"/>
              </w:rPr>
            </w:pPr>
            <w:r w:rsidRPr="004178F2">
              <w:rPr>
                <w:sz w:val="20"/>
                <w:szCs w:val="20"/>
                <w:lang w:val="en-US"/>
              </w:rPr>
              <w:t xml:space="preserve">Financial instruments in ESIF </w:t>
            </w:r>
            <w:proofErr w:type="spellStart"/>
            <w:r w:rsidRPr="004178F2">
              <w:rPr>
                <w:sz w:val="20"/>
                <w:szCs w:val="20"/>
                <w:lang w:val="en-US"/>
              </w:rPr>
              <w:t>programmes</w:t>
            </w:r>
            <w:proofErr w:type="spellEnd"/>
            <w:r w:rsidRPr="004178F2">
              <w:rPr>
                <w:sz w:val="20"/>
                <w:szCs w:val="20"/>
                <w:lang w:val="en-US"/>
              </w:rPr>
              <w:t xml:space="preserve"> 2014-2020 A short reference guide for Managing Authorities”</w:t>
            </w:r>
          </w:p>
        </w:tc>
      </w:tr>
      <w:tr w:rsidRPr="002E255A" w:rsidR="002E255A" w:rsidTr="07433F88" w14:paraId="213707C1" w14:textId="77777777">
        <w:trPr>
          <w:trHeight w:val="733"/>
        </w:trPr>
        <w:tc>
          <w:tcPr>
            <w:tcW w:w="2816" w:type="dxa"/>
            <w:vAlign w:val="center"/>
          </w:tcPr>
          <w:p w:rsidRPr="004178F2" w:rsidR="002E255A" w:rsidP="0071643C" w:rsidRDefault="002E255A" w14:paraId="1A918FD5" w14:textId="2AC1F62C">
            <w:pPr>
              <w:widowControl w:val="0"/>
              <w:tabs>
                <w:tab w:val="left" w:pos="709"/>
              </w:tabs>
              <w:autoSpaceDE w:val="0"/>
              <w:autoSpaceDN w:val="0"/>
              <w:spacing w:before="120"/>
              <w:ind w:left="128"/>
              <w:rPr>
                <w:lang w:val="en-US"/>
              </w:rPr>
            </w:pPr>
            <w:r w:rsidRPr="004178F2">
              <w:rPr>
                <w:rFonts w:ascii="Calibri" w:hAnsi="Calibri" w:cs="Calibri"/>
                <w:b/>
                <w:bCs/>
                <w:color w:val="0070C0"/>
                <w:sz w:val="20"/>
                <w:szCs w:val="20"/>
              </w:rPr>
              <w:t>Nota EGESIF 14-0021-00 del 16 giugno 2014</w:t>
            </w:r>
          </w:p>
        </w:tc>
        <w:tc>
          <w:tcPr>
            <w:tcW w:w="6163" w:type="dxa"/>
            <w:vAlign w:val="center"/>
          </w:tcPr>
          <w:p w:rsidRPr="004178F2" w:rsidR="002E255A" w:rsidP="0071643C" w:rsidRDefault="002E255A" w14:paraId="2F509C34" w14:textId="77777777">
            <w:pPr>
              <w:pStyle w:val="Default"/>
              <w:rPr>
                <w:sz w:val="20"/>
                <w:szCs w:val="20"/>
              </w:rPr>
            </w:pPr>
            <w:r w:rsidRPr="004178F2">
              <w:rPr>
                <w:sz w:val="20"/>
                <w:szCs w:val="20"/>
              </w:rPr>
              <w:t>“Valutazione dei rischi di frode e misure antifrode</w:t>
            </w:r>
          </w:p>
          <w:p w:rsidRPr="004178F2" w:rsidR="002E255A" w:rsidP="0071643C" w:rsidRDefault="002E255A" w14:paraId="5D47A94E" w14:textId="42853F7F">
            <w:pPr>
              <w:pStyle w:val="Default"/>
              <w:rPr>
                <w:rFonts w:ascii="Calibri Light" w:hAnsi="Calibri Light" w:eastAsia="Calibri" w:cs="Calibri Light"/>
                <w:sz w:val="22"/>
                <w:szCs w:val="22"/>
                <w:lang w:val="en-US" w:bidi="it-IT"/>
                <w14:ligatures w14:val="none"/>
              </w:rPr>
            </w:pPr>
            <w:r w:rsidRPr="004178F2">
              <w:rPr>
                <w:sz w:val="20"/>
                <w:szCs w:val="20"/>
              </w:rPr>
              <w:t>efficaci e proporzionate”</w:t>
            </w:r>
          </w:p>
        </w:tc>
      </w:tr>
      <w:tr w:rsidRPr="002E255A" w:rsidR="002E255A" w:rsidTr="07433F88" w14:paraId="02CA7D65" w14:textId="77777777">
        <w:trPr>
          <w:trHeight w:val="733"/>
        </w:trPr>
        <w:tc>
          <w:tcPr>
            <w:tcW w:w="2816" w:type="dxa"/>
            <w:vAlign w:val="center"/>
          </w:tcPr>
          <w:p w:rsidRPr="004178F2" w:rsidR="002E255A" w:rsidP="0071643C" w:rsidRDefault="002E255A" w14:paraId="40992818" w14:textId="2AD5931E">
            <w:pPr>
              <w:widowControl w:val="0"/>
              <w:tabs>
                <w:tab w:val="left" w:pos="709"/>
              </w:tabs>
              <w:autoSpaceDE w:val="0"/>
              <w:autoSpaceDN w:val="0"/>
              <w:spacing w:before="120"/>
              <w:ind w:left="128"/>
              <w:rPr>
                <w:lang w:val="en-US"/>
              </w:rPr>
            </w:pPr>
            <w:r w:rsidRPr="004178F2">
              <w:rPr>
                <w:rFonts w:ascii="Calibri" w:hAnsi="Calibri" w:cs="Calibri"/>
                <w:b/>
                <w:bCs/>
                <w:color w:val="0070C0"/>
                <w:sz w:val="20"/>
                <w:szCs w:val="20"/>
              </w:rPr>
              <w:t>Note COESIF</w:t>
            </w:r>
          </w:p>
        </w:tc>
        <w:tc>
          <w:tcPr>
            <w:tcW w:w="6163" w:type="dxa"/>
            <w:vAlign w:val="center"/>
          </w:tcPr>
          <w:p w:rsidRPr="002E255A" w:rsidR="002E255A" w:rsidP="0071643C" w:rsidRDefault="002E255A" w14:paraId="4EA3F3BD" w14:textId="5FC853C7">
            <w:pPr>
              <w:pStyle w:val="Default"/>
              <w:rPr>
                <w:rFonts w:ascii="Calibri Light" w:hAnsi="Calibri Light" w:eastAsia="Calibri" w:cs="Calibri Light"/>
                <w:sz w:val="22"/>
                <w:szCs w:val="22"/>
                <w:lang w:bidi="it-IT"/>
                <w14:ligatures w14:val="none"/>
              </w:rPr>
            </w:pPr>
            <w:r w:rsidRPr="00CD5740">
              <w:t xml:space="preserve"> </w:t>
            </w:r>
            <w:r w:rsidRPr="004178F2">
              <w:rPr>
                <w:sz w:val="20"/>
                <w:szCs w:val="20"/>
              </w:rPr>
              <w:t xml:space="preserve">“Determinazione delle rettifiche finanziarie da applicare alle spese </w:t>
            </w:r>
            <w:proofErr w:type="spellStart"/>
            <w:r w:rsidRPr="004178F2">
              <w:rPr>
                <w:sz w:val="20"/>
                <w:szCs w:val="20"/>
              </w:rPr>
              <w:t>finanziate</w:t>
            </w:r>
            <w:proofErr w:type="spellEnd"/>
            <w:r w:rsidR="00D20CF2">
              <w:rPr>
                <w:sz w:val="20"/>
                <w:szCs w:val="20"/>
              </w:rPr>
              <w:t xml:space="preserve"> </w:t>
            </w:r>
            <w:r w:rsidRPr="004178F2">
              <w:rPr>
                <w:sz w:val="20"/>
                <w:szCs w:val="20"/>
              </w:rPr>
              <w:t>dall’Unione in caso di mancato rispetto delle norme in materia di appalti pubblici”</w:t>
            </w:r>
          </w:p>
        </w:tc>
      </w:tr>
      <w:tr w:rsidRPr="00D20CF2" w:rsidR="002E255A" w:rsidTr="07433F88" w14:paraId="0E648697" w14:textId="77777777">
        <w:trPr>
          <w:trHeight w:val="733"/>
        </w:trPr>
        <w:tc>
          <w:tcPr>
            <w:tcW w:w="2816" w:type="dxa"/>
            <w:vAlign w:val="center"/>
          </w:tcPr>
          <w:p w:rsidRPr="005E0A67" w:rsidR="002E255A" w:rsidP="0071643C" w:rsidRDefault="002E255A" w14:paraId="0B9FA3B8" w14:textId="77777777">
            <w:pPr>
              <w:kinsoku w:val="0"/>
              <w:overflowPunct w:val="0"/>
              <w:autoSpaceDE w:val="0"/>
              <w:autoSpaceDN w:val="0"/>
              <w:adjustRightInd w:val="0"/>
              <w:spacing w:before="97"/>
              <w:ind w:left="89"/>
            </w:pPr>
          </w:p>
        </w:tc>
        <w:tc>
          <w:tcPr>
            <w:tcW w:w="6163" w:type="dxa"/>
            <w:vAlign w:val="center"/>
          </w:tcPr>
          <w:p w:rsidRPr="005E0A67" w:rsidR="002E255A" w:rsidP="0071643C" w:rsidRDefault="46961425" w14:paraId="06588EA2" w14:textId="3B3FA9DC">
            <w:pPr>
              <w:pStyle w:val="Default"/>
            </w:pPr>
            <w:proofErr w:type="spellStart"/>
            <w:r w:rsidRPr="07433F88">
              <w:rPr>
                <w:sz w:val="20"/>
                <w:szCs w:val="20"/>
              </w:rPr>
              <w:t>Methodological</w:t>
            </w:r>
            <w:proofErr w:type="spellEnd"/>
            <w:r w:rsidRPr="07433F88">
              <w:rPr>
                <w:sz w:val="20"/>
                <w:szCs w:val="20"/>
              </w:rPr>
              <w:t xml:space="preserve"> note for the </w:t>
            </w:r>
            <w:proofErr w:type="spellStart"/>
            <w:r w:rsidRPr="07433F88">
              <w:rPr>
                <w:sz w:val="20"/>
                <w:szCs w:val="20"/>
              </w:rPr>
              <w:t>Assessment</w:t>
            </w:r>
            <w:proofErr w:type="spellEnd"/>
            <w:r w:rsidRPr="07433F88">
              <w:rPr>
                <w:sz w:val="20"/>
                <w:szCs w:val="20"/>
              </w:rPr>
              <w:t xml:space="preserve"> of Management and Control Systems in the </w:t>
            </w:r>
            <w:proofErr w:type="spellStart"/>
            <w:r w:rsidRPr="07433F88">
              <w:rPr>
                <w:sz w:val="20"/>
                <w:szCs w:val="20"/>
              </w:rPr>
              <w:t>Member</w:t>
            </w:r>
            <w:proofErr w:type="spellEnd"/>
            <w:r w:rsidRPr="07433F88">
              <w:rPr>
                <w:sz w:val="20"/>
                <w:szCs w:val="20"/>
              </w:rPr>
              <w:t xml:space="preserve"> States</w:t>
            </w:r>
            <w:r w:rsidRPr="07433F88" w:rsidR="4CB4DE03">
              <w:rPr>
                <w:sz w:val="20"/>
                <w:szCs w:val="20"/>
              </w:rPr>
              <w:t xml:space="preserve"> </w:t>
            </w:r>
            <w:r w:rsidRPr="07433F88">
              <w:rPr>
                <w:sz w:val="20"/>
                <w:szCs w:val="20"/>
              </w:rPr>
              <w:t xml:space="preserve">– Update 2021-2027 programming </w:t>
            </w:r>
            <w:proofErr w:type="spellStart"/>
            <w:r w:rsidRPr="07433F88">
              <w:rPr>
                <w:sz w:val="20"/>
                <w:szCs w:val="20"/>
              </w:rPr>
              <w:t>period</w:t>
            </w:r>
            <w:proofErr w:type="spellEnd"/>
            <w:r w:rsidRPr="07433F88">
              <w:rPr>
                <w:sz w:val="20"/>
                <w:szCs w:val="20"/>
              </w:rPr>
              <w:t xml:space="preserve"> – documento reso disponibile nei TM del 7 dicembre 2021,</w:t>
            </w:r>
            <w:r w:rsidRPr="07433F88" w:rsidR="4CB4DE03">
              <w:rPr>
                <w:sz w:val="20"/>
                <w:szCs w:val="20"/>
              </w:rPr>
              <w:t xml:space="preserve"> </w:t>
            </w:r>
            <w:r w:rsidRPr="07433F88">
              <w:rPr>
                <w:sz w:val="20"/>
                <w:szCs w:val="20"/>
              </w:rPr>
              <w:t>1° aprile e 10 giugno 2022 e Osservazioni delle autorità di audit a seguito della riunione tecnica del 7</w:t>
            </w:r>
            <w:r w:rsidRPr="07433F88" w:rsidR="4CB4DE03">
              <w:rPr>
                <w:sz w:val="20"/>
                <w:szCs w:val="20"/>
              </w:rPr>
              <w:t xml:space="preserve"> </w:t>
            </w:r>
            <w:r w:rsidRPr="07433F88">
              <w:rPr>
                <w:sz w:val="20"/>
                <w:szCs w:val="20"/>
              </w:rPr>
              <w:t xml:space="preserve">dicembre 2021 e del </w:t>
            </w:r>
            <w:proofErr w:type="gramStart"/>
            <w:r w:rsidRPr="07433F88" w:rsidR="41E16FB7">
              <w:rPr>
                <w:sz w:val="20"/>
                <w:szCs w:val="20"/>
              </w:rPr>
              <w:t>1 aprile</w:t>
            </w:r>
            <w:proofErr w:type="gramEnd"/>
            <w:r w:rsidRPr="07433F88">
              <w:rPr>
                <w:sz w:val="20"/>
                <w:szCs w:val="20"/>
              </w:rPr>
              <w:t xml:space="preserve"> 2022.</w:t>
            </w:r>
          </w:p>
        </w:tc>
      </w:tr>
      <w:tr w:rsidRPr="00F2065A" w:rsidR="002E255A" w:rsidTr="07433F88" w14:paraId="7F27ED1B" w14:textId="77777777">
        <w:trPr>
          <w:trHeight w:val="733"/>
        </w:trPr>
        <w:tc>
          <w:tcPr>
            <w:tcW w:w="2816" w:type="dxa"/>
            <w:vAlign w:val="center"/>
          </w:tcPr>
          <w:p w:rsidRPr="00782ECF" w:rsidR="002E255A" w:rsidP="0071643C" w:rsidRDefault="00B644E3" w14:paraId="12FEA2DA" w14:textId="1C70DDA8">
            <w:pPr>
              <w:kinsoku w:val="0"/>
              <w:overflowPunct w:val="0"/>
              <w:autoSpaceDE w:val="0"/>
              <w:autoSpaceDN w:val="0"/>
              <w:adjustRightInd w:val="0"/>
              <w:spacing w:before="97"/>
              <w:ind w:left="89"/>
            </w:pPr>
            <w:r w:rsidRPr="004178F2">
              <w:rPr>
                <w:rFonts w:ascii="Calibri" w:hAnsi="Calibri" w:cs="Calibri"/>
                <w:b/>
                <w:bCs/>
                <w:color w:val="0070C0"/>
                <w:sz w:val="20"/>
                <w:szCs w:val="20"/>
              </w:rPr>
              <w:t>Verbale EGESIF_21-0026-00 del 04/10/2021</w:t>
            </w:r>
          </w:p>
        </w:tc>
        <w:tc>
          <w:tcPr>
            <w:tcW w:w="6163" w:type="dxa"/>
            <w:vAlign w:val="center"/>
          </w:tcPr>
          <w:p w:rsidRPr="004178F2" w:rsidR="002E255A" w:rsidP="0071643C" w:rsidRDefault="00D20CF2" w14:paraId="4DBA4CFA" w14:textId="234BA038">
            <w:pPr>
              <w:pStyle w:val="Default"/>
              <w:rPr>
                <w:lang w:val="en-US"/>
              </w:rPr>
            </w:pPr>
            <w:r w:rsidRPr="004178F2">
              <w:rPr>
                <w:sz w:val="20"/>
                <w:szCs w:val="20"/>
                <w:lang w:val="en-US"/>
              </w:rPr>
              <w:t xml:space="preserve">51st Meeting of the EXPERT GROUP on ESIF (EGESIF), 22 June 2021- con </w:t>
            </w:r>
            <w:proofErr w:type="spellStart"/>
            <w:r w:rsidRPr="004178F2">
              <w:rPr>
                <w:sz w:val="20"/>
                <w:szCs w:val="20"/>
                <w:lang w:val="en-US"/>
              </w:rPr>
              <w:t>Allegato</w:t>
            </w:r>
            <w:proofErr w:type="spellEnd"/>
            <w:r w:rsidRPr="004178F2">
              <w:rPr>
                <w:sz w:val="20"/>
                <w:szCs w:val="20"/>
                <w:lang w:val="en-US"/>
              </w:rPr>
              <w:t xml:space="preserve"> 1- </w:t>
            </w:r>
            <w:proofErr w:type="spellStart"/>
            <w:r w:rsidRPr="004178F2">
              <w:rPr>
                <w:sz w:val="20"/>
                <w:szCs w:val="20"/>
                <w:lang w:val="en-US"/>
              </w:rPr>
              <w:t>Domande</w:t>
            </w:r>
            <w:proofErr w:type="spellEnd"/>
            <w:r w:rsidRPr="004178F2">
              <w:rPr>
                <w:sz w:val="20"/>
                <w:szCs w:val="20"/>
                <w:lang w:val="en-US"/>
              </w:rPr>
              <w:t xml:space="preserve"> e </w:t>
            </w:r>
            <w:proofErr w:type="spellStart"/>
            <w:r w:rsidRPr="004178F2">
              <w:rPr>
                <w:sz w:val="20"/>
                <w:szCs w:val="20"/>
                <w:lang w:val="en-US"/>
              </w:rPr>
              <w:t>risposte</w:t>
            </w:r>
            <w:proofErr w:type="spellEnd"/>
          </w:p>
        </w:tc>
      </w:tr>
    </w:tbl>
    <w:p w:rsidRPr="009D4F7B" w:rsidR="003B6766" w:rsidP="00476FB9" w:rsidRDefault="003B6766" w14:paraId="6FAD4AE9" w14:textId="4224FCFE">
      <w:pPr>
        <w:pStyle w:val="Heading2"/>
        <w:rPr>
          <w:rFonts w:ascii="Calibri" w:hAnsi="Calibri" w:cs="Calibri"/>
          <w:b/>
          <w:color w:val="0070C0"/>
          <w:sz w:val="28"/>
          <w:szCs w:val="28"/>
          <w:lang w:val="en-US"/>
        </w:rPr>
      </w:pPr>
    </w:p>
    <w:tbl>
      <w:tblPr>
        <w:tblW w:w="0" w:type="auto"/>
        <w:tblInd w:w="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2816"/>
        <w:gridCol w:w="6163"/>
      </w:tblGrid>
      <w:tr w:rsidRPr="00C13C56" w:rsidR="003B6766" w:rsidTr="35CD470B" w14:paraId="61C1A6E1" w14:textId="77777777">
        <w:trPr>
          <w:trHeight w:val="733"/>
        </w:trPr>
        <w:tc>
          <w:tcPr>
            <w:tcW w:w="2816" w:type="dxa"/>
            <w:vAlign w:val="center"/>
          </w:tcPr>
          <w:p w:rsidRPr="004178F2" w:rsidR="003B6766" w:rsidP="002E406C" w:rsidRDefault="003B6766" w14:paraId="566A0213" w14:textId="054CD3D4">
            <w:pPr>
              <w:kinsoku w:val="0"/>
              <w:overflowPunct w:val="0"/>
              <w:autoSpaceDE w:val="0"/>
              <w:autoSpaceDN w:val="0"/>
              <w:adjustRightInd w:val="0"/>
              <w:spacing w:before="97"/>
              <w:ind w:left="89"/>
              <w:rPr>
                <w:rFonts w:ascii="Calibri" w:hAnsi="Calibri" w:cs="Calibri" w:eastAsiaTheme="minorHAnsi"/>
                <w:b/>
                <w:bCs/>
                <w:color w:val="000000"/>
                <w:sz w:val="20"/>
                <w:szCs w:val="20"/>
                <w:lang w:eastAsia="en-US"/>
              </w:rPr>
            </w:pPr>
            <w:r w:rsidRPr="004178F2">
              <w:rPr>
                <w:rFonts w:ascii="Calibri" w:hAnsi="Calibri" w:cs="Calibri" w:eastAsiaTheme="minorHAnsi"/>
                <w:b/>
                <w:bCs/>
                <w:color w:val="0070C0"/>
                <w:sz w:val="20"/>
                <w:szCs w:val="20"/>
                <w:lang w:eastAsia="en-US"/>
              </w:rPr>
              <w:t>P</w:t>
            </w:r>
            <w:r w:rsidRPr="00BA5D23" w:rsidR="00BA5D23">
              <w:rPr>
                <w:rFonts w:ascii="Calibri" w:hAnsi="Calibri" w:cs="Calibri" w:eastAsiaTheme="minorHAnsi"/>
                <w:b/>
                <w:bCs/>
                <w:color w:val="0070C0"/>
                <w:sz w:val="20"/>
                <w:szCs w:val="20"/>
                <w:lang w:eastAsia="en-US"/>
              </w:rPr>
              <w:t xml:space="preserve">rogramma Nazionale </w:t>
            </w:r>
          </w:p>
        </w:tc>
        <w:tc>
          <w:tcPr>
            <w:tcW w:w="6163" w:type="dxa"/>
            <w:vAlign w:val="center"/>
          </w:tcPr>
          <w:p w:rsidRPr="004178F2" w:rsidR="003B6766" w:rsidP="002E406C" w:rsidRDefault="003F4831" w14:paraId="3BDE7F2D" w14:textId="2497D65F">
            <w:pPr>
              <w:spacing w:after="120"/>
              <w:rPr>
                <w:rFonts w:ascii="Calibri" w:hAnsi="Calibri" w:cs="Calibri"/>
                <w:sz w:val="20"/>
                <w:szCs w:val="20"/>
              </w:rPr>
            </w:pPr>
            <w:r w:rsidRPr="004178F2">
              <w:rPr>
                <w:rFonts w:ascii="Calibri" w:hAnsi="Calibri" w:cs="Calibri"/>
                <w:sz w:val="20"/>
                <w:szCs w:val="20"/>
              </w:rPr>
              <w:t>PN Cultura 2021-</w:t>
            </w:r>
            <w:r w:rsidRPr="004178F2" w:rsidR="00BA5D23">
              <w:rPr>
                <w:rFonts w:ascii="Calibri" w:hAnsi="Calibri" w:cs="Calibri"/>
                <w:sz w:val="20"/>
                <w:szCs w:val="20"/>
              </w:rPr>
              <w:t xml:space="preserve">2027 approvato con </w:t>
            </w:r>
            <w:r w:rsidRPr="004178F2">
              <w:rPr>
                <w:rFonts w:ascii="Calibri" w:hAnsi="Calibri" w:cs="Calibri"/>
                <w:sz w:val="20"/>
                <w:szCs w:val="20"/>
              </w:rPr>
              <w:t>Decisione C (2022) 7959 del 28/10/2022</w:t>
            </w:r>
          </w:p>
        </w:tc>
      </w:tr>
      <w:tr w:rsidRPr="00C13C56" w:rsidR="003B6766" w:rsidTr="35CD470B" w14:paraId="5B8A73F6" w14:textId="77777777">
        <w:trPr>
          <w:trHeight w:val="733"/>
        </w:trPr>
        <w:tc>
          <w:tcPr>
            <w:tcW w:w="2816" w:type="dxa"/>
            <w:vAlign w:val="center"/>
          </w:tcPr>
          <w:p w:rsidRPr="00C13C56" w:rsidR="003B6766" w:rsidP="002E406C" w:rsidRDefault="00507E32" w14:paraId="5D2BF528" w14:textId="280C1419">
            <w:pPr>
              <w:kinsoku w:val="0"/>
              <w:overflowPunct w:val="0"/>
              <w:autoSpaceDE w:val="0"/>
              <w:autoSpaceDN w:val="0"/>
              <w:adjustRightInd w:val="0"/>
              <w:spacing w:before="97"/>
              <w:ind w:left="89"/>
              <w:rPr>
                <w:rFonts w:ascii="Calibri" w:hAnsi="Calibri" w:cs="Calibri" w:eastAsiaTheme="minorHAnsi"/>
                <w:color w:val="000000"/>
                <w:sz w:val="20"/>
                <w:szCs w:val="20"/>
                <w:lang w:eastAsia="en-US"/>
              </w:rPr>
            </w:pPr>
            <w:r w:rsidRPr="004178F2">
              <w:rPr>
                <w:rFonts w:ascii="Calibri" w:hAnsi="Calibri" w:cs="Calibri" w:eastAsiaTheme="minorHAnsi"/>
                <w:b/>
                <w:bCs/>
                <w:color w:val="0070C0"/>
                <w:sz w:val="20"/>
                <w:szCs w:val="20"/>
                <w:lang w:eastAsia="en-US"/>
              </w:rPr>
              <w:t>Designazione Autorità di Gestion</w:t>
            </w:r>
            <w:r>
              <w:rPr>
                <w:rFonts w:ascii="Calibri" w:hAnsi="Calibri" w:cs="Calibri" w:eastAsiaTheme="minorHAnsi"/>
                <w:b/>
                <w:bCs/>
                <w:color w:val="0070C0"/>
                <w:sz w:val="20"/>
                <w:szCs w:val="20"/>
                <w:lang w:eastAsia="en-US"/>
              </w:rPr>
              <w:t>e</w:t>
            </w:r>
          </w:p>
        </w:tc>
        <w:tc>
          <w:tcPr>
            <w:tcW w:w="6163" w:type="dxa"/>
            <w:vAlign w:val="center"/>
          </w:tcPr>
          <w:p w:rsidRPr="00C13C56" w:rsidR="003B6766" w:rsidP="002E406C" w:rsidRDefault="00507E32" w14:paraId="23FA7C97" w14:textId="280B1CF5">
            <w:pPr>
              <w:pStyle w:val="Default"/>
              <w:rPr>
                <w:sz w:val="20"/>
                <w:szCs w:val="20"/>
              </w:rPr>
            </w:pPr>
            <w:r w:rsidRPr="00507E32">
              <w:rPr>
                <w:sz w:val="20"/>
                <w:szCs w:val="20"/>
              </w:rPr>
              <w:t xml:space="preserve">Decreto Ministeriale </w:t>
            </w:r>
            <w:r w:rsidRPr="00E76471" w:rsidR="00D60849">
              <w:rPr>
                <w:sz w:val="20"/>
                <w:szCs w:val="20"/>
              </w:rPr>
              <w:t>n. 270 del 5 settembre 2024</w:t>
            </w:r>
          </w:p>
        </w:tc>
      </w:tr>
      <w:tr w:rsidRPr="00726022" w:rsidR="00C55726" w:rsidTr="35CD470B" w14:paraId="271176DD" w14:textId="77777777">
        <w:trPr>
          <w:trHeight w:val="733"/>
        </w:trPr>
        <w:tc>
          <w:tcPr>
            <w:tcW w:w="2816" w:type="dxa"/>
            <w:vAlign w:val="center"/>
          </w:tcPr>
          <w:p w:rsidR="00C55726" w:rsidP="002E406C" w:rsidRDefault="00C55726" w14:paraId="64A34C9D" w14:textId="400AEC2F">
            <w:pPr>
              <w:kinsoku w:val="0"/>
              <w:overflowPunct w:val="0"/>
              <w:autoSpaceDE w:val="0"/>
              <w:autoSpaceDN w:val="0"/>
              <w:adjustRightInd w:val="0"/>
              <w:spacing w:before="97"/>
              <w:ind w:left="89"/>
              <w:rPr>
                <w:rFonts w:ascii="Calibri" w:hAnsi="Calibri" w:cs="Calibri"/>
                <w:b/>
                <w:bCs/>
                <w:color w:val="0070C0"/>
                <w:sz w:val="20"/>
                <w:szCs w:val="20"/>
              </w:rPr>
            </w:pPr>
            <w:r>
              <w:rPr>
                <w:rFonts w:ascii="Calibri" w:hAnsi="Calibri" w:cs="Calibri"/>
                <w:b/>
                <w:bCs/>
                <w:color w:val="0070C0"/>
                <w:sz w:val="20"/>
                <w:szCs w:val="20"/>
              </w:rPr>
              <w:t xml:space="preserve">Designazione Autorità contabile </w:t>
            </w:r>
          </w:p>
        </w:tc>
        <w:tc>
          <w:tcPr>
            <w:tcW w:w="6163" w:type="dxa"/>
            <w:vAlign w:val="center"/>
          </w:tcPr>
          <w:p w:rsidRPr="002E406C" w:rsidR="00C55726" w:rsidP="002E406C" w:rsidRDefault="002E406C" w14:paraId="67BF0AE2" w14:textId="47CC7DF2">
            <w:pPr>
              <w:pStyle w:val="Default"/>
              <w:rPr>
                <w:rFonts w:ascii="Calibri Light" w:hAnsi="Calibri Light" w:eastAsia="Calibri" w:cs="Calibri Light"/>
                <w:sz w:val="20"/>
                <w:szCs w:val="20"/>
                <w:lang w:bidi="it-IT"/>
                <w14:ligatures w14:val="none"/>
              </w:rPr>
            </w:pPr>
            <w:r w:rsidRPr="002E406C">
              <w:rPr>
                <w:sz w:val="20"/>
                <w:szCs w:val="20"/>
              </w:rPr>
              <w:t>Nota AdG prot.n. 13630 del 19 aprile 2023</w:t>
            </w:r>
          </w:p>
        </w:tc>
      </w:tr>
      <w:tr w:rsidRPr="00726022" w:rsidR="003B6766" w:rsidTr="35CD470B" w14:paraId="7ECB91C4" w14:textId="77777777">
        <w:trPr>
          <w:trHeight w:val="733"/>
        </w:trPr>
        <w:tc>
          <w:tcPr>
            <w:tcW w:w="2816" w:type="dxa"/>
            <w:shd w:val="clear" w:color="auto" w:fill="FFFFFF" w:themeFill="background1"/>
            <w:vAlign w:val="center"/>
          </w:tcPr>
          <w:p w:rsidRPr="00B267AF" w:rsidR="003B6766" w:rsidP="0071643C" w:rsidRDefault="003B6766" w14:paraId="698F8CAA" w14:textId="381FE24B">
            <w:pPr>
              <w:kinsoku w:val="0"/>
              <w:overflowPunct w:val="0"/>
              <w:autoSpaceDE w:val="0"/>
              <w:autoSpaceDN w:val="0"/>
              <w:adjustRightInd w:val="0"/>
              <w:spacing w:before="97"/>
              <w:ind w:left="89"/>
              <w:rPr>
                <w:rFonts w:ascii="Calibri" w:hAnsi="Calibri" w:cs="Calibri"/>
                <w:b/>
                <w:bCs/>
                <w:color w:val="0070C0"/>
                <w:sz w:val="20"/>
                <w:szCs w:val="20"/>
              </w:rPr>
            </w:pPr>
            <w:r w:rsidRPr="00B267AF">
              <w:rPr>
                <w:rFonts w:ascii="Calibri" w:hAnsi="Calibri" w:cs="Calibri"/>
                <w:b/>
                <w:bCs/>
                <w:color w:val="0070C0"/>
                <w:sz w:val="20"/>
                <w:szCs w:val="20"/>
              </w:rPr>
              <w:t>PIAO</w:t>
            </w:r>
          </w:p>
        </w:tc>
        <w:tc>
          <w:tcPr>
            <w:tcW w:w="6163" w:type="dxa"/>
            <w:shd w:val="clear" w:color="auto" w:fill="FFFFFF" w:themeFill="background1"/>
            <w:vAlign w:val="center"/>
          </w:tcPr>
          <w:p w:rsidRPr="00B267AF" w:rsidR="003B6766" w:rsidP="002E406C" w:rsidRDefault="00DA2A68" w14:paraId="7D4C9A62" w14:textId="29F85B9E">
            <w:pPr>
              <w:pStyle w:val="Default"/>
              <w:rPr>
                <w:rFonts w:eastAsia="Calibri"/>
                <w:sz w:val="22"/>
                <w:szCs w:val="22"/>
                <w:lang w:bidi="it-IT"/>
                <w14:ligatures w14:val="none"/>
              </w:rPr>
            </w:pPr>
            <w:r w:rsidRPr="00B267AF">
              <w:rPr>
                <w:rFonts w:eastAsia="Calibri"/>
                <w:sz w:val="20"/>
                <w:szCs w:val="20"/>
                <w:lang w:bidi="it-IT"/>
                <w14:ligatures w14:val="none"/>
              </w:rPr>
              <w:t xml:space="preserve">Il PIAO (Piano Integrato di Attività e Organizzazione) </w:t>
            </w:r>
            <w:r w:rsidRPr="00B267AF" w:rsidR="00B267AF">
              <w:rPr>
                <w:rFonts w:eastAsia="Calibri"/>
                <w:sz w:val="20"/>
                <w:szCs w:val="20"/>
                <w:lang w:bidi="it-IT"/>
                <w14:ligatures w14:val="none"/>
              </w:rPr>
              <w:t xml:space="preserve">strumento </w:t>
            </w:r>
            <w:r w:rsidRPr="00B267AF">
              <w:rPr>
                <w:rFonts w:eastAsia="Calibri"/>
                <w:sz w:val="20"/>
                <w:szCs w:val="20"/>
                <w:lang w:bidi="it-IT"/>
                <w14:ligatures w14:val="none"/>
              </w:rPr>
              <w:t>strategico per la programmazione e la gestione integrata delle attività delle amministrazioni pubbliche</w:t>
            </w:r>
          </w:p>
        </w:tc>
      </w:tr>
    </w:tbl>
    <w:p w:rsidRPr="00C3316E" w:rsidR="0094450B" w:rsidP="009C5076" w:rsidRDefault="35CD470B" w14:paraId="1583BD61" w14:textId="5732AE3A">
      <w:pPr>
        <w:pStyle w:val="Heading2"/>
        <w:numPr>
          <w:ilvl w:val="1"/>
          <w:numId w:val="29"/>
        </w:numPr>
        <w:rPr>
          <w:rFonts w:ascii="Calibri" w:hAnsi="Calibri" w:cs="Calibri"/>
          <w:b/>
          <w:bCs/>
          <w:color w:val="215E99" w:themeColor="text2" w:themeTint="BF"/>
          <w:sz w:val="28"/>
          <w:szCs w:val="28"/>
        </w:rPr>
      </w:pPr>
      <w:bookmarkStart w:name="_Toc190354103" w:id="14"/>
      <w:r w:rsidRPr="00C3316E">
        <w:rPr>
          <w:rFonts w:ascii="Calibri" w:hAnsi="Calibri" w:cs="Calibri"/>
          <w:b/>
          <w:bCs/>
          <w:color w:val="215E99" w:themeColor="text2" w:themeTint="BF"/>
          <w:sz w:val="28"/>
          <w:szCs w:val="28"/>
        </w:rPr>
        <w:t>Pari Opportunità</w:t>
      </w:r>
      <w:bookmarkEnd w:id="14"/>
    </w:p>
    <w:tbl>
      <w:tblPr>
        <w:tblStyle w:val="TableGrid"/>
        <w:tblW w:w="0" w:type="auto"/>
        <w:tblBorders>
          <w:top w:val="single" w:color="auto" w:sz="6" w:space="0"/>
          <w:left w:val="single" w:color="auto" w:sz="6" w:space="0"/>
          <w:bottom w:val="single" w:color="auto" w:sz="6" w:space="0"/>
          <w:right w:val="single" w:color="auto" w:sz="6" w:space="0"/>
        </w:tblBorders>
        <w:tblLayout w:type="fixed"/>
        <w:tblLook w:val="04A0" w:firstRow="1" w:lastRow="0" w:firstColumn="1" w:lastColumn="0" w:noHBand="0" w:noVBand="1"/>
      </w:tblPr>
      <w:tblGrid>
        <w:gridCol w:w="3525"/>
        <w:gridCol w:w="5805"/>
      </w:tblGrid>
      <w:tr w:rsidR="35CD470B" w:rsidTr="0006638A" w14:paraId="66624A66" w14:textId="77777777">
        <w:trPr>
          <w:trHeight w:val="300"/>
        </w:trPr>
        <w:tc>
          <w:tcPr>
            <w:tcW w:w="3525" w:type="dxa"/>
            <w:tcMar>
              <w:left w:w="105" w:type="dxa"/>
              <w:right w:w="105" w:type="dxa"/>
            </w:tcMar>
            <w:vAlign w:val="center"/>
          </w:tcPr>
          <w:p w:rsidRPr="0006638A" w:rsidR="35CD470B" w:rsidP="0006638A" w:rsidRDefault="35CD470B" w14:paraId="4C9B6881" w14:textId="3E924A80">
            <w:pPr>
              <w:rPr>
                <w:rFonts w:ascii="Calibri" w:hAnsi="Calibri" w:eastAsia="Aptos" w:cs="Calibri"/>
                <w:color w:val="0070C0"/>
                <w:sz w:val="20"/>
                <w:szCs w:val="20"/>
              </w:rPr>
            </w:pPr>
            <w:r w:rsidRPr="0006638A">
              <w:rPr>
                <w:rFonts w:ascii="Calibri" w:hAnsi="Calibri" w:eastAsia="Aptos" w:cs="Calibri"/>
                <w:b/>
                <w:bCs/>
                <w:color w:val="0070C0"/>
                <w:sz w:val="20"/>
                <w:szCs w:val="20"/>
              </w:rPr>
              <w:t>Direttiva 2006/54/CE</w:t>
            </w:r>
          </w:p>
        </w:tc>
        <w:tc>
          <w:tcPr>
            <w:tcW w:w="5805" w:type="dxa"/>
            <w:tcMar>
              <w:left w:w="105" w:type="dxa"/>
              <w:right w:w="105" w:type="dxa"/>
            </w:tcMar>
          </w:tcPr>
          <w:p w:rsidRPr="0006638A" w:rsidR="35CD470B" w:rsidP="003877FC" w:rsidRDefault="35CD470B" w14:paraId="4BFD52A1" w14:textId="728AE104">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Direttiva 2006/54/CE riguardante l'attuazione del principio delle pari opportunità e della parità di trattamento fra uomini e donne in materia di occupazione e impiego (rifusione)</w:t>
            </w:r>
          </w:p>
        </w:tc>
      </w:tr>
      <w:tr w:rsidR="35CD470B" w:rsidTr="0006638A" w14:paraId="32D1591D" w14:textId="77777777">
        <w:trPr>
          <w:trHeight w:val="300"/>
        </w:trPr>
        <w:tc>
          <w:tcPr>
            <w:tcW w:w="3525" w:type="dxa"/>
            <w:tcMar>
              <w:left w:w="105" w:type="dxa"/>
              <w:right w:w="105" w:type="dxa"/>
            </w:tcMar>
            <w:vAlign w:val="center"/>
          </w:tcPr>
          <w:p w:rsidRPr="0006638A" w:rsidR="35CD470B" w:rsidP="0006638A" w:rsidRDefault="35CD470B" w14:paraId="6A4F14FC" w14:textId="2E8A109B">
            <w:pPr>
              <w:rPr>
                <w:rFonts w:ascii="Calibri" w:hAnsi="Calibri" w:eastAsia="Aptos" w:cs="Calibri"/>
                <w:color w:val="0070C0"/>
                <w:sz w:val="20"/>
                <w:szCs w:val="20"/>
              </w:rPr>
            </w:pPr>
            <w:r w:rsidRPr="0006638A">
              <w:rPr>
                <w:rFonts w:ascii="Calibri" w:hAnsi="Calibri" w:eastAsia="Aptos" w:cs="Calibri"/>
                <w:b/>
                <w:bCs/>
                <w:color w:val="0070C0"/>
                <w:sz w:val="20"/>
                <w:szCs w:val="20"/>
              </w:rPr>
              <w:t>Direttiva 2004/113/CE</w:t>
            </w:r>
          </w:p>
        </w:tc>
        <w:tc>
          <w:tcPr>
            <w:tcW w:w="5805" w:type="dxa"/>
            <w:tcMar>
              <w:left w:w="105" w:type="dxa"/>
              <w:right w:w="105" w:type="dxa"/>
            </w:tcMar>
          </w:tcPr>
          <w:p w:rsidRPr="0006638A" w:rsidR="35CD470B" w:rsidP="35CD470B" w:rsidRDefault="35CD470B" w14:paraId="5E24197F" w14:textId="6B0F240A">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Direttiva 2004/113/CE che attua il principio della parità di trattamento tra uomini e donne per quanto riguarda l’acceso a beni e servizi e la loro fornitura</w:t>
            </w:r>
          </w:p>
        </w:tc>
      </w:tr>
      <w:tr w:rsidR="35CD470B" w:rsidTr="0006638A" w14:paraId="715D334B" w14:textId="77777777">
        <w:trPr>
          <w:trHeight w:val="300"/>
        </w:trPr>
        <w:tc>
          <w:tcPr>
            <w:tcW w:w="3525" w:type="dxa"/>
            <w:tcMar>
              <w:left w:w="105" w:type="dxa"/>
              <w:right w:w="105" w:type="dxa"/>
            </w:tcMar>
            <w:vAlign w:val="center"/>
          </w:tcPr>
          <w:p w:rsidRPr="0006638A" w:rsidR="35CD470B" w:rsidP="0006638A" w:rsidRDefault="35CD470B" w14:paraId="7E1C46D9" w14:textId="4002263F">
            <w:pPr>
              <w:rPr>
                <w:rFonts w:ascii="Calibri" w:hAnsi="Calibri" w:eastAsia="Aptos" w:cs="Calibri"/>
                <w:color w:val="0070C0"/>
                <w:sz w:val="20"/>
                <w:szCs w:val="20"/>
              </w:rPr>
            </w:pPr>
            <w:r w:rsidRPr="0006638A">
              <w:rPr>
                <w:rFonts w:ascii="Calibri" w:hAnsi="Calibri" w:eastAsia="Aptos" w:cs="Calibri"/>
                <w:b/>
                <w:bCs/>
                <w:color w:val="0070C0"/>
                <w:sz w:val="20"/>
                <w:szCs w:val="20"/>
              </w:rPr>
              <w:t>Direttiva 2000/43/CE</w:t>
            </w:r>
          </w:p>
        </w:tc>
        <w:tc>
          <w:tcPr>
            <w:tcW w:w="5805" w:type="dxa"/>
            <w:tcMar>
              <w:left w:w="105" w:type="dxa"/>
              <w:right w:w="105" w:type="dxa"/>
            </w:tcMar>
          </w:tcPr>
          <w:p w:rsidRPr="0006638A" w:rsidR="35CD470B" w:rsidP="35CD470B" w:rsidRDefault="35CD470B" w14:paraId="06C82F1F" w14:textId="20CA64B8">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Direttiva 2000/43/CE che attua il principio della parità di trattamento fra le persone indipendentemente dalla razza e dall’origine etnica</w:t>
            </w:r>
          </w:p>
        </w:tc>
      </w:tr>
      <w:tr w:rsidR="35CD470B" w:rsidTr="0006638A" w14:paraId="124807A4" w14:textId="77777777">
        <w:trPr>
          <w:trHeight w:val="300"/>
        </w:trPr>
        <w:tc>
          <w:tcPr>
            <w:tcW w:w="3525" w:type="dxa"/>
            <w:tcMar>
              <w:left w:w="105" w:type="dxa"/>
              <w:right w:w="105" w:type="dxa"/>
            </w:tcMar>
            <w:vAlign w:val="center"/>
          </w:tcPr>
          <w:p w:rsidRPr="0006638A" w:rsidR="35CD470B" w:rsidP="0006638A" w:rsidRDefault="35CD470B" w14:paraId="2C437A5D" w14:textId="1FD6E6F1">
            <w:pPr>
              <w:rPr>
                <w:rFonts w:ascii="Calibri" w:hAnsi="Calibri" w:eastAsia="Aptos" w:cs="Calibri"/>
                <w:color w:val="0070C0"/>
                <w:sz w:val="20"/>
                <w:szCs w:val="20"/>
              </w:rPr>
            </w:pPr>
            <w:r w:rsidRPr="0006638A">
              <w:rPr>
                <w:rFonts w:ascii="Calibri" w:hAnsi="Calibri" w:eastAsia="Aptos" w:cs="Calibri"/>
                <w:b/>
                <w:bCs/>
                <w:color w:val="0070C0"/>
                <w:sz w:val="20"/>
                <w:szCs w:val="20"/>
              </w:rPr>
              <w:t>Direttiva 2000/78/CE</w:t>
            </w:r>
          </w:p>
        </w:tc>
        <w:tc>
          <w:tcPr>
            <w:tcW w:w="5805" w:type="dxa"/>
            <w:tcMar>
              <w:left w:w="105" w:type="dxa"/>
              <w:right w:w="105" w:type="dxa"/>
            </w:tcMar>
          </w:tcPr>
          <w:p w:rsidRPr="0006638A" w:rsidR="35CD470B" w:rsidP="35CD470B" w:rsidRDefault="35CD470B" w14:paraId="64BDCAE1" w14:textId="502F7682">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Direttiva 2000/78/CE che stabilisce un quadro generale per la parità di trattamento in materia di occupazione e di condizioni di lavoro</w:t>
            </w:r>
          </w:p>
        </w:tc>
      </w:tr>
      <w:tr w:rsidR="35CD470B" w:rsidTr="0006638A" w14:paraId="47E0BA4A" w14:textId="77777777">
        <w:trPr>
          <w:trHeight w:val="300"/>
        </w:trPr>
        <w:tc>
          <w:tcPr>
            <w:tcW w:w="3525" w:type="dxa"/>
            <w:tcMar>
              <w:left w:w="105" w:type="dxa"/>
              <w:right w:w="105" w:type="dxa"/>
            </w:tcMar>
            <w:vAlign w:val="center"/>
          </w:tcPr>
          <w:p w:rsidRPr="0006638A" w:rsidR="35CD470B" w:rsidP="0006638A" w:rsidRDefault="35CD470B" w14:paraId="5A00AEFF" w14:textId="4B8F75B4">
            <w:pPr>
              <w:rPr>
                <w:rFonts w:ascii="Calibri" w:hAnsi="Calibri" w:eastAsia="Aptos" w:cs="Calibri"/>
                <w:color w:val="0070C0"/>
                <w:sz w:val="20"/>
                <w:szCs w:val="20"/>
              </w:rPr>
            </w:pPr>
            <w:r w:rsidRPr="0006638A">
              <w:rPr>
                <w:rFonts w:ascii="Calibri" w:hAnsi="Calibri" w:eastAsia="Aptos" w:cs="Calibri"/>
                <w:b/>
                <w:bCs/>
                <w:color w:val="0070C0"/>
                <w:sz w:val="20"/>
                <w:szCs w:val="20"/>
              </w:rPr>
              <w:t>Direttiva 97/81/CE</w:t>
            </w:r>
          </w:p>
        </w:tc>
        <w:tc>
          <w:tcPr>
            <w:tcW w:w="5805" w:type="dxa"/>
            <w:tcMar>
              <w:left w:w="105" w:type="dxa"/>
              <w:right w:w="105" w:type="dxa"/>
            </w:tcMar>
          </w:tcPr>
          <w:p w:rsidRPr="0006638A" w:rsidR="35CD470B" w:rsidP="35CD470B" w:rsidRDefault="35CD470B" w14:paraId="236C3B41" w14:textId="53D90E74">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Direttiva 97/81/CE relativa all'accordo quadro sul lavoro a tempo parziale concluso dall'UNICE, dal CEEP e dalla CES</w:t>
            </w:r>
          </w:p>
        </w:tc>
      </w:tr>
      <w:tr w:rsidR="35CD470B" w:rsidTr="0006638A" w14:paraId="1CA07892" w14:textId="77777777">
        <w:trPr>
          <w:trHeight w:val="300"/>
        </w:trPr>
        <w:tc>
          <w:tcPr>
            <w:tcW w:w="3525" w:type="dxa"/>
            <w:tcMar>
              <w:left w:w="105" w:type="dxa"/>
              <w:right w:w="105" w:type="dxa"/>
            </w:tcMar>
            <w:vAlign w:val="center"/>
          </w:tcPr>
          <w:p w:rsidRPr="0006638A" w:rsidR="35CD470B" w:rsidP="0006638A" w:rsidRDefault="35CD470B" w14:paraId="20AD1F77" w14:textId="15D2AB96">
            <w:pPr>
              <w:rPr>
                <w:rFonts w:ascii="Calibri" w:hAnsi="Calibri" w:eastAsia="Aptos" w:cs="Calibri"/>
                <w:color w:val="0070C0"/>
                <w:sz w:val="20"/>
                <w:szCs w:val="20"/>
              </w:rPr>
            </w:pPr>
            <w:r w:rsidRPr="0006638A">
              <w:rPr>
                <w:rFonts w:ascii="Calibri" w:hAnsi="Calibri" w:eastAsia="Aptos" w:cs="Calibri"/>
                <w:b/>
                <w:bCs/>
                <w:color w:val="0070C0"/>
                <w:sz w:val="20"/>
                <w:szCs w:val="20"/>
              </w:rPr>
              <w:t>Direttiva 2019/1158/UE</w:t>
            </w:r>
          </w:p>
        </w:tc>
        <w:tc>
          <w:tcPr>
            <w:tcW w:w="5805" w:type="dxa"/>
            <w:tcMar>
              <w:left w:w="105" w:type="dxa"/>
              <w:right w:w="105" w:type="dxa"/>
            </w:tcMar>
          </w:tcPr>
          <w:p w:rsidRPr="0006638A" w:rsidR="35CD470B" w:rsidP="35CD470B" w:rsidRDefault="35CD470B" w14:paraId="1EDA14B1" w14:textId="5A3B42FA">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Direttiva 2019/1158/UE relativa all'equilibrio tra attività professionale e vita familiare per i genitori e i prestatori di assistenza</w:t>
            </w:r>
          </w:p>
        </w:tc>
      </w:tr>
      <w:tr w:rsidR="35CD470B" w:rsidTr="0006638A" w14:paraId="31A42FD6" w14:textId="77777777">
        <w:trPr>
          <w:trHeight w:val="300"/>
        </w:trPr>
        <w:tc>
          <w:tcPr>
            <w:tcW w:w="3525" w:type="dxa"/>
            <w:tcMar>
              <w:left w:w="105" w:type="dxa"/>
              <w:right w:w="105" w:type="dxa"/>
            </w:tcMar>
            <w:vAlign w:val="center"/>
          </w:tcPr>
          <w:p w:rsidRPr="0006638A" w:rsidR="35CD470B" w:rsidP="0006638A" w:rsidRDefault="35CD470B" w14:paraId="1F09FD17" w14:textId="742ADF82">
            <w:pPr>
              <w:rPr>
                <w:rFonts w:ascii="Calibri" w:hAnsi="Calibri" w:eastAsia="Aptos" w:cs="Calibri"/>
                <w:color w:val="0070C0"/>
                <w:sz w:val="20"/>
                <w:szCs w:val="20"/>
              </w:rPr>
            </w:pPr>
            <w:r w:rsidRPr="0006638A">
              <w:rPr>
                <w:rFonts w:ascii="Calibri" w:hAnsi="Calibri" w:eastAsia="Aptos" w:cs="Calibri"/>
                <w:b/>
                <w:bCs/>
                <w:color w:val="0070C0"/>
                <w:sz w:val="20"/>
                <w:szCs w:val="20"/>
              </w:rPr>
              <w:t>Direttiva 92/85/CE</w:t>
            </w:r>
          </w:p>
        </w:tc>
        <w:tc>
          <w:tcPr>
            <w:tcW w:w="5805" w:type="dxa"/>
            <w:tcMar>
              <w:left w:w="105" w:type="dxa"/>
              <w:right w:w="105" w:type="dxa"/>
            </w:tcMar>
          </w:tcPr>
          <w:p w:rsidRPr="0006638A" w:rsidR="35CD470B" w:rsidP="35CD470B" w:rsidRDefault="35CD470B" w14:paraId="7D5663EC" w14:textId="332FA6C7">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Direttiva 92/85/CE concernente l'attuazione di misure volte a promuovere il miglioramento della sicurezza e della salute sul lavoro delle lavoratrici gestanti, puerpere o in periodo di allattamento (decima Direttiva particolare ai sensi dell'articolo 16, paragrafo 1, della direttiva 89/391/CEE) – testo consolidato</w:t>
            </w:r>
          </w:p>
        </w:tc>
      </w:tr>
      <w:tr w:rsidR="35CD470B" w:rsidTr="0006638A" w14:paraId="0CF0B944" w14:textId="77777777">
        <w:trPr>
          <w:trHeight w:val="300"/>
        </w:trPr>
        <w:tc>
          <w:tcPr>
            <w:tcW w:w="3525" w:type="dxa"/>
            <w:tcMar>
              <w:left w:w="105" w:type="dxa"/>
              <w:right w:w="105" w:type="dxa"/>
            </w:tcMar>
            <w:vAlign w:val="center"/>
          </w:tcPr>
          <w:p w:rsidRPr="0006638A" w:rsidR="35CD470B" w:rsidP="0006638A" w:rsidRDefault="35CD470B" w14:paraId="5590C28B" w14:textId="349057E3">
            <w:pPr>
              <w:rPr>
                <w:rFonts w:ascii="Calibri" w:hAnsi="Calibri" w:eastAsia="Aptos" w:cs="Calibri"/>
                <w:color w:val="0070C0"/>
                <w:sz w:val="20"/>
                <w:szCs w:val="20"/>
              </w:rPr>
            </w:pPr>
            <w:r w:rsidRPr="0006638A">
              <w:rPr>
                <w:rFonts w:ascii="Calibri" w:hAnsi="Calibri" w:eastAsia="Aptos" w:cs="Calibri"/>
                <w:b/>
                <w:bCs/>
                <w:color w:val="0070C0"/>
                <w:sz w:val="20"/>
                <w:szCs w:val="20"/>
              </w:rPr>
              <w:t>Direttiva 2010/41/UE</w:t>
            </w:r>
          </w:p>
        </w:tc>
        <w:tc>
          <w:tcPr>
            <w:tcW w:w="5805" w:type="dxa"/>
            <w:tcMar>
              <w:left w:w="105" w:type="dxa"/>
              <w:right w:w="105" w:type="dxa"/>
            </w:tcMar>
          </w:tcPr>
          <w:p w:rsidRPr="0006638A" w:rsidR="35CD470B" w:rsidP="35CD470B" w:rsidRDefault="35CD470B" w14:paraId="1635A9C6" w14:textId="440B68B9">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Direttiva 2010/41/UE relativa all'applicazione del principio della parità di trattamento fra gli uomini e le donne che esercitano un'attività autonoma</w:t>
            </w:r>
          </w:p>
        </w:tc>
      </w:tr>
      <w:tr w:rsidR="35CD470B" w:rsidTr="0006638A" w14:paraId="4C4468E2" w14:textId="77777777">
        <w:trPr>
          <w:trHeight w:val="300"/>
        </w:trPr>
        <w:tc>
          <w:tcPr>
            <w:tcW w:w="3525" w:type="dxa"/>
            <w:tcMar>
              <w:left w:w="105" w:type="dxa"/>
              <w:right w:w="105" w:type="dxa"/>
            </w:tcMar>
            <w:vAlign w:val="center"/>
          </w:tcPr>
          <w:p w:rsidRPr="0006638A" w:rsidR="35CD470B" w:rsidP="0006638A" w:rsidRDefault="35CD470B" w14:paraId="6193852E" w14:textId="2A498D2C">
            <w:pPr>
              <w:rPr>
                <w:rFonts w:ascii="Calibri" w:hAnsi="Calibri" w:eastAsia="Aptos" w:cs="Calibri"/>
                <w:color w:val="0070C0"/>
                <w:sz w:val="20"/>
                <w:szCs w:val="20"/>
              </w:rPr>
            </w:pPr>
            <w:r w:rsidRPr="0006638A">
              <w:rPr>
                <w:rFonts w:ascii="Calibri" w:hAnsi="Calibri" w:eastAsia="Aptos" w:cs="Calibri"/>
                <w:b/>
                <w:bCs/>
                <w:color w:val="0070C0"/>
                <w:sz w:val="20"/>
                <w:szCs w:val="20"/>
              </w:rPr>
              <w:t>Direttiva (UE) 2023/970</w:t>
            </w:r>
          </w:p>
        </w:tc>
        <w:tc>
          <w:tcPr>
            <w:tcW w:w="5805" w:type="dxa"/>
            <w:tcMar>
              <w:left w:w="105" w:type="dxa"/>
              <w:right w:w="105" w:type="dxa"/>
            </w:tcMar>
          </w:tcPr>
          <w:p w:rsidRPr="0006638A" w:rsidR="35CD470B" w:rsidP="35CD470B" w:rsidRDefault="35CD470B" w14:paraId="5FB74FC3" w14:textId="3C07CDC2">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Direttiva (UE) 2023/970 volta a rafforzare l'applicazione del principio della parità di retribuzione tra uomini e donne per uno stesso lavoro o per un lavoro di pari valore attraverso la trasparenza retributiva e i relativi meccanismi di applicazione</w:t>
            </w:r>
          </w:p>
        </w:tc>
      </w:tr>
      <w:tr w:rsidR="35CD470B" w:rsidTr="0006638A" w14:paraId="057D3E8C" w14:textId="77777777">
        <w:trPr>
          <w:trHeight w:val="300"/>
        </w:trPr>
        <w:tc>
          <w:tcPr>
            <w:tcW w:w="3525" w:type="dxa"/>
            <w:tcMar>
              <w:left w:w="105" w:type="dxa"/>
              <w:right w:w="105" w:type="dxa"/>
            </w:tcMar>
            <w:vAlign w:val="center"/>
          </w:tcPr>
          <w:p w:rsidRPr="0006638A" w:rsidR="35CD470B" w:rsidP="0006638A" w:rsidRDefault="35CD470B" w14:paraId="564FE89D" w14:textId="7C055B30">
            <w:pPr>
              <w:rPr>
                <w:rFonts w:ascii="Calibri" w:hAnsi="Calibri" w:eastAsia="Aptos" w:cs="Calibri"/>
                <w:color w:val="0070C0"/>
                <w:sz w:val="20"/>
                <w:szCs w:val="20"/>
              </w:rPr>
            </w:pPr>
            <w:r w:rsidRPr="0006638A">
              <w:rPr>
                <w:rFonts w:ascii="Calibri" w:hAnsi="Calibri" w:eastAsia="Aptos" w:cs="Calibri"/>
                <w:b/>
                <w:bCs/>
                <w:color w:val="0070C0"/>
                <w:sz w:val="20"/>
                <w:szCs w:val="20"/>
              </w:rPr>
              <w:t>Decreto Legislativo 11 aprile 2006 n. 198 Codice</w:t>
            </w:r>
          </w:p>
        </w:tc>
        <w:tc>
          <w:tcPr>
            <w:tcW w:w="5805" w:type="dxa"/>
            <w:tcMar>
              <w:left w:w="105" w:type="dxa"/>
              <w:right w:w="105" w:type="dxa"/>
            </w:tcMar>
          </w:tcPr>
          <w:p w:rsidRPr="0006638A" w:rsidR="35CD470B" w:rsidP="35CD470B" w:rsidRDefault="35CD470B" w14:paraId="2574E280" w14:textId="0102A73E">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Decreto Legislativo 11 aprile 2006 n. 198 Codice delle pari opportunità tra uomo e donna, a norma dell'articolo 6 della L. 28 novembre 2005, n. 246</w:t>
            </w:r>
          </w:p>
        </w:tc>
      </w:tr>
      <w:tr w:rsidR="35CD470B" w:rsidTr="0006638A" w14:paraId="0E02C78F" w14:textId="77777777">
        <w:trPr>
          <w:trHeight w:val="300"/>
        </w:trPr>
        <w:tc>
          <w:tcPr>
            <w:tcW w:w="3525" w:type="dxa"/>
            <w:tcMar>
              <w:left w:w="105" w:type="dxa"/>
              <w:right w:w="105" w:type="dxa"/>
            </w:tcMar>
            <w:vAlign w:val="center"/>
          </w:tcPr>
          <w:p w:rsidRPr="0006638A" w:rsidR="35CD470B" w:rsidP="0006638A" w:rsidRDefault="35CD470B" w14:paraId="61F8FB57" w14:textId="48EF9A4F">
            <w:pPr>
              <w:rPr>
                <w:rFonts w:ascii="Calibri" w:hAnsi="Calibri" w:eastAsia="Aptos" w:cs="Calibri"/>
                <w:color w:val="0070C0"/>
                <w:sz w:val="20"/>
                <w:szCs w:val="20"/>
              </w:rPr>
            </w:pPr>
            <w:r w:rsidRPr="0006638A">
              <w:rPr>
                <w:rFonts w:ascii="Calibri" w:hAnsi="Calibri" w:eastAsia="Aptos" w:cs="Calibri"/>
                <w:b/>
                <w:bCs/>
                <w:color w:val="0070C0"/>
                <w:sz w:val="20"/>
                <w:szCs w:val="20"/>
              </w:rPr>
              <w:t>Decreto Legislativo 15 giugno 2015, n. 80</w:t>
            </w:r>
          </w:p>
        </w:tc>
        <w:tc>
          <w:tcPr>
            <w:tcW w:w="5805" w:type="dxa"/>
            <w:tcMar>
              <w:left w:w="105" w:type="dxa"/>
              <w:right w:w="105" w:type="dxa"/>
            </w:tcMar>
          </w:tcPr>
          <w:p w:rsidRPr="0006638A" w:rsidR="35CD470B" w:rsidP="35CD470B" w:rsidRDefault="35CD470B" w14:paraId="24DBE949" w14:textId="5BE7522B">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Decreto Legislativo 15 giugno 2015, n. 80, Misure per la conciliazione delle esigenze di cura, di vita e di lavoro, in attuazione dell'articolo 1, commi 8 e 9, della legge 10 dicembre 2014, n. 183</w:t>
            </w:r>
          </w:p>
        </w:tc>
      </w:tr>
      <w:tr w:rsidR="35CD470B" w:rsidTr="0006638A" w14:paraId="109E1038" w14:textId="77777777">
        <w:trPr>
          <w:trHeight w:val="300"/>
        </w:trPr>
        <w:tc>
          <w:tcPr>
            <w:tcW w:w="3525" w:type="dxa"/>
            <w:tcMar>
              <w:left w:w="105" w:type="dxa"/>
              <w:right w:w="105" w:type="dxa"/>
            </w:tcMar>
            <w:vAlign w:val="center"/>
          </w:tcPr>
          <w:p w:rsidRPr="0006638A" w:rsidR="35CD470B" w:rsidP="0006638A" w:rsidRDefault="35CD470B" w14:paraId="0ADAF4EF" w14:textId="231638AF">
            <w:pPr>
              <w:rPr>
                <w:rFonts w:ascii="Calibri" w:hAnsi="Calibri" w:eastAsia="Aptos" w:cs="Calibri"/>
                <w:color w:val="0070C0"/>
                <w:sz w:val="20"/>
                <w:szCs w:val="20"/>
              </w:rPr>
            </w:pPr>
            <w:r w:rsidRPr="0006638A">
              <w:rPr>
                <w:rFonts w:ascii="Calibri" w:hAnsi="Calibri" w:eastAsia="Aptos" w:cs="Calibri"/>
                <w:b/>
                <w:bCs/>
                <w:color w:val="0070C0"/>
                <w:sz w:val="20"/>
                <w:szCs w:val="20"/>
              </w:rPr>
              <w:t>Legge 12 luglio 2011, n. 120</w:t>
            </w:r>
          </w:p>
        </w:tc>
        <w:tc>
          <w:tcPr>
            <w:tcW w:w="5805" w:type="dxa"/>
            <w:tcMar>
              <w:left w:w="105" w:type="dxa"/>
              <w:right w:w="105" w:type="dxa"/>
            </w:tcMar>
          </w:tcPr>
          <w:p w:rsidRPr="0006638A" w:rsidR="35CD470B" w:rsidP="35CD470B" w:rsidRDefault="35CD470B" w14:paraId="36F49655" w14:textId="33EC3DC6">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Legge 12 luglio 2011, n. 120 - Modifiche al testo unico delle disposizioni in materia di intermediazione finanziaria, di cui al decreto legislativo 24 febbraio 1998, n. 58, concernenti la parità di accesso agli organi di amministrazione e di controllo delle società quotate in mercati regolamentati</w:t>
            </w:r>
          </w:p>
        </w:tc>
      </w:tr>
      <w:tr w:rsidR="35CD470B" w:rsidTr="0006638A" w14:paraId="61CBFFFE" w14:textId="77777777">
        <w:trPr>
          <w:trHeight w:val="300"/>
        </w:trPr>
        <w:tc>
          <w:tcPr>
            <w:tcW w:w="3525" w:type="dxa"/>
            <w:tcMar>
              <w:left w:w="105" w:type="dxa"/>
              <w:right w:w="105" w:type="dxa"/>
            </w:tcMar>
            <w:vAlign w:val="center"/>
          </w:tcPr>
          <w:p w:rsidRPr="0006638A" w:rsidR="35CD470B" w:rsidP="0006638A" w:rsidRDefault="35CD470B" w14:paraId="63F9BC9F" w14:textId="49D5CE17">
            <w:pPr>
              <w:rPr>
                <w:rFonts w:ascii="Calibri" w:hAnsi="Calibri" w:eastAsia="Aptos" w:cs="Calibri"/>
                <w:color w:val="0070C0"/>
                <w:sz w:val="20"/>
                <w:szCs w:val="20"/>
              </w:rPr>
            </w:pPr>
            <w:r w:rsidRPr="0006638A">
              <w:rPr>
                <w:rFonts w:ascii="Calibri" w:hAnsi="Calibri" w:eastAsia="Aptos" w:cs="Calibri"/>
                <w:b/>
                <w:bCs/>
                <w:color w:val="0070C0"/>
                <w:sz w:val="20"/>
                <w:szCs w:val="20"/>
              </w:rPr>
              <w:t>Legge 22 maggio 2017, n. 81</w:t>
            </w:r>
          </w:p>
        </w:tc>
        <w:tc>
          <w:tcPr>
            <w:tcW w:w="5805" w:type="dxa"/>
            <w:tcMar>
              <w:left w:w="105" w:type="dxa"/>
              <w:right w:w="105" w:type="dxa"/>
            </w:tcMar>
          </w:tcPr>
          <w:p w:rsidRPr="0006638A" w:rsidR="35CD470B" w:rsidP="35CD470B" w:rsidRDefault="35CD470B" w14:paraId="46213F08" w14:textId="28913631">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Legge 22 maggio 2017, n. 81 recante “Misure per la tutela del lavoro autonomo non imprenditoriale e misure volte a favorire l'articolazione flessibile nei tempi e nei luoghi del lavoro subordinato”</w:t>
            </w:r>
          </w:p>
        </w:tc>
      </w:tr>
      <w:tr w:rsidR="35CD470B" w:rsidTr="0006638A" w14:paraId="0C5B9DFB" w14:textId="77777777">
        <w:trPr>
          <w:trHeight w:val="300"/>
        </w:trPr>
        <w:tc>
          <w:tcPr>
            <w:tcW w:w="3525" w:type="dxa"/>
            <w:tcMar>
              <w:left w:w="105" w:type="dxa"/>
              <w:right w:w="105" w:type="dxa"/>
            </w:tcMar>
            <w:vAlign w:val="center"/>
          </w:tcPr>
          <w:p w:rsidRPr="0006638A" w:rsidR="35CD470B" w:rsidP="0006638A" w:rsidRDefault="35CD470B" w14:paraId="4835E0D0" w14:textId="1917ABA1">
            <w:pPr>
              <w:rPr>
                <w:rFonts w:ascii="Calibri" w:hAnsi="Calibri" w:eastAsia="Aptos" w:cs="Calibri"/>
                <w:color w:val="0070C0"/>
                <w:sz w:val="20"/>
                <w:szCs w:val="20"/>
              </w:rPr>
            </w:pPr>
            <w:r w:rsidRPr="0006638A">
              <w:rPr>
                <w:rFonts w:ascii="Calibri" w:hAnsi="Calibri" w:eastAsia="Aptos" w:cs="Calibri"/>
                <w:b/>
                <w:bCs/>
                <w:color w:val="0070C0"/>
                <w:sz w:val="20"/>
                <w:szCs w:val="20"/>
              </w:rPr>
              <w:t>Decreto Legislativo n. 105 del 2022</w:t>
            </w:r>
          </w:p>
        </w:tc>
        <w:tc>
          <w:tcPr>
            <w:tcW w:w="5805" w:type="dxa"/>
            <w:tcMar>
              <w:left w:w="105" w:type="dxa"/>
              <w:right w:w="105" w:type="dxa"/>
            </w:tcMar>
          </w:tcPr>
          <w:p w:rsidRPr="0006638A" w:rsidR="35CD470B" w:rsidP="35CD470B" w:rsidRDefault="35CD470B" w14:paraId="09642A5A" w14:textId="60635671">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Decreto Legislativo n. 105 del 2022 di attuazione della direttiva (UE) 2019/1158 in tema di equilibrio tra attività professionale e vita familiare</w:t>
            </w:r>
          </w:p>
        </w:tc>
      </w:tr>
      <w:tr w:rsidR="35CD470B" w:rsidTr="0006638A" w14:paraId="62617920" w14:textId="77777777">
        <w:trPr>
          <w:trHeight w:val="300"/>
        </w:trPr>
        <w:tc>
          <w:tcPr>
            <w:tcW w:w="3525" w:type="dxa"/>
            <w:tcMar>
              <w:left w:w="105" w:type="dxa"/>
              <w:right w:w="105" w:type="dxa"/>
            </w:tcMar>
            <w:vAlign w:val="center"/>
          </w:tcPr>
          <w:p w:rsidRPr="0006638A" w:rsidR="35CD470B" w:rsidP="0006638A" w:rsidRDefault="35CD470B" w14:paraId="5B1D746F" w14:textId="0508A584">
            <w:pPr>
              <w:rPr>
                <w:rFonts w:ascii="Calibri" w:hAnsi="Calibri" w:eastAsia="Aptos" w:cs="Calibri"/>
                <w:color w:val="0070C0"/>
                <w:sz w:val="20"/>
                <w:szCs w:val="20"/>
              </w:rPr>
            </w:pPr>
            <w:r w:rsidRPr="0006638A">
              <w:rPr>
                <w:rFonts w:ascii="Calibri" w:hAnsi="Calibri" w:eastAsia="Aptos" w:cs="Calibri"/>
                <w:b/>
                <w:bCs/>
                <w:color w:val="0070C0"/>
                <w:sz w:val="20"/>
                <w:szCs w:val="20"/>
              </w:rPr>
              <w:t>Legge n. 162 del 2021</w:t>
            </w:r>
          </w:p>
        </w:tc>
        <w:tc>
          <w:tcPr>
            <w:tcW w:w="5805" w:type="dxa"/>
            <w:tcMar>
              <w:left w:w="105" w:type="dxa"/>
              <w:right w:w="105" w:type="dxa"/>
            </w:tcMar>
          </w:tcPr>
          <w:p w:rsidRPr="0006638A" w:rsidR="35CD470B" w:rsidP="35CD470B" w:rsidRDefault="35CD470B" w14:paraId="29623E12" w14:textId="3F7E255A">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Legge n. 162 del 2021 che interviene in materia di pari opportunità nel contesto lavorativo al fine di rafforzare la tutela già offerta dal Codice delle Pari Opportunità, istituendo anche un sistema di certificazione della parità di genere</w:t>
            </w:r>
          </w:p>
        </w:tc>
      </w:tr>
      <w:tr w:rsidR="35CD470B" w:rsidTr="0006638A" w14:paraId="26ED6392" w14:textId="77777777">
        <w:trPr>
          <w:trHeight w:val="300"/>
        </w:trPr>
        <w:tc>
          <w:tcPr>
            <w:tcW w:w="3525" w:type="dxa"/>
            <w:tcMar>
              <w:left w:w="105" w:type="dxa"/>
              <w:right w:w="105" w:type="dxa"/>
            </w:tcMar>
            <w:vAlign w:val="center"/>
          </w:tcPr>
          <w:p w:rsidRPr="0006638A" w:rsidR="35CD470B" w:rsidP="0006638A" w:rsidRDefault="35CD470B" w14:paraId="4FA33E50" w14:textId="27DA6CFA">
            <w:pPr>
              <w:rPr>
                <w:rFonts w:ascii="Calibri" w:hAnsi="Calibri" w:eastAsia="Aptos" w:cs="Calibri"/>
                <w:color w:val="0070C0"/>
                <w:sz w:val="20"/>
                <w:szCs w:val="20"/>
              </w:rPr>
            </w:pPr>
            <w:r w:rsidRPr="0006638A">
              <w:rPr>
                <w:rFonts w:ascii="Calibri" w:hAnsi="Calibri" w:eastAsia="Aptos" w:cs="Calibri"/>
                <w:b/>
                <w:bCs/>
                <w:color w:val="0070C0"/>
                <w:sz w:val="20"/>
                <w:szCs w:val="20"/>
              </w:rPr>
              <w:t>Decreto Legislativo 6 novembre 2007 n. 196</w:t>
            </w:r>
          </w:p>
        </w:tc>
        <w:tc>
          <w:tcPr>
            <w:tcW w:w="5805" w:type="dxa"/>
            <w:tcMar>
              <w:left w:w="105" w:type="dxa"/>
              <w:right w:w="105" w:type="dxa"/>
            </w:tcMar>
          </w:tcPr>
          <w:p w:rsidRPr="0006638A" w:rsidR="35CD470B" w:rsidP="35CD470B" w:rsidRDefault="35CD470B" w14:paraId="1CC332CC" w14:textId="39AC4647">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Decreto Legislativo 6 novembre 2007 n. 196 che attua la direttiva 2004/113/CE che attua il principio della parità di trattamento tra uomini e donne per quanto riguarda l'accesso a beni e servizi e la loro fornitura</w:t>
            </w:r>
          </w:p>
        </w:tc>
      </w:tr>
      <w:tr w:rsidR="35CD470B" w:rsidTr="0006638A" w14:paraId="70C5B968" w14:textId="77777777">
        <w:trPr>
          <w:trHeight w:val="300"/>
        </w:trPr>
        <w:tc>
          <w:tcPr>
            <w:tcW w:w="3525" w:type="dxa"/>
            <w:tcMar>
              <w:left w:w="105" w:type="dxa"/>
              <w:right w:w="105" w:type="dxa"/>
            </w:tcMar>
            <w:vAlign w:val="center"/>
          </w:tcPr>
          <w:p w:rsidRPr="0006638A" w:rsidR="35CD470B" w:rsidP="0006638A" w:rsidRDefault="35CD470B" w14:paraId="2D6EC882" w14:textId="1877EEC4">
            <w:pPr>
              <w:rPr>
                <w:rFonts w:ascii="Calibri" w:hAnsi="Calibri" w:eastAsia="Aptos" w:cs="Calibri"/>
                <w:color w:val="0070C0"/>
                <w:sz w:val="20"/>
                <w:szCs w:val="20"/>
              </w:rPr>
            </w:pPr>
            <w:r w:rsidRPr="0006638A">
              <w:rPr>
                <w:rFonts w:ascii="Calibri" w:hAnsi="Calibri" w:eastAsia="Aptos" w:cs="Calibri"/>
                <w:b/>
                <w:bCs/>
                <w:color w:val="0070C0"/>
                <w:sz w:val="20"/>
                <w:szCs w:val="20"/>
              </w:rPr>
              <w:t>Decreto Legislativo 9 luglio 2003 n. 216</w:t>
            </w:r>
          </w:p>
        </w:tc>
        <w:tc>
          <w:tcPr>
            <w:tcW w:w="5805" w:type="dxa"/>
            <w:tcMar>
              <w:left w:w="105" w:type="dxa"/>
              <w:right w:w="105" w:type="dxa"/>
            </w:tcMar>
          </w:tcPr>
          <w:p w:rsidRPr="0006638A" w:rsidR="35CD470B" w:rsidP="35CD470B" w:rsidRDefault="35CD470B" w14:paraId="63F75B33" w14:textId="1AB39DC8">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Decreto Legislativo 9 luglio 2003 n. 216 che attua la direttiva 2000/78/CE per la parità di trattamento in materia di occupazione e di condizioni di lavoro (e della direttiva n. 2014/54/UE relativa alle misure intese ad agevolare l'esercizio dei diritti conferiti ai lavoratori nel quadro della libera circolazione dei lavoratori)</w:t>
            </w:r>
          </w:p>
        </w:tc>
      </w:tr>
      <w:tr w:rsidR="35CD470B" w:rsidTr="0006638A" w14:paraId="7AC90B59" w14:textId="77777777">
        <w:trPr>
          <w:trHeight w:val="300"/>
        </w:trPr>
        <w:tc>
          <w:tcPr>
            <w:tcW w:w="3525" w:type="dxa"/>
            <w:tcMar>
              <w:left w:w="105" w:type="dxa"/>
              <w:right w:w="105" w:type="dxa"/>
            </w:tcMar>
            <w:vAlign w:val="center"/>
          </w:tcPr>
          <w:p w:rsidRPr="0006638A" w:rsidR="35CD470B" w:rsidP="0006638A" w:rsidRDefault="35CD470B" w14:paraId="718B61F6" w14:textId="4A1FE170">
            <w:pPr>
              <w:rPr>
                <w:rFonts w:ascii="Calibri" w:hAnsi="Calibri" w:eastAsia="Aptos" w:cs="Calibri"/>
                <w:color w:val="0070C0"/>
                <w:sz w:val="20"/>
                <w:szCs w:val="20"/>
              </w:rPr>
            </w:pPr>
            <w:r w:rsidRPr="0006638A">
              <w:rPr>
                <w:rFonts w:ascii="Calibri" w:hAnsi="Calibri" w:eastAsia="Aptos" w:cs="Calibri"/>
                <w:b/>
                <w:bCs/>
                <w:color w:val="0070C0"/>
                <w:sz w:val="20"/>
                <w:szCs w:val="20"/>
              </w:rPr>
              <w:t>Decreto Legislativo 9 luglio 2003 n. 215</w:t>
            </w:r>
          </w:p>
        </w:tc>
        <w:tc>
          <w:tcPr>
            <w:tcW w:w="5805" w:type="dxa"/>
            <w:tcMar>
              <w:left w:w="105" w:type="dxa"/>
              <w:right w:w="105" w:type="dxa"/>
            </w:tcMar>
          </w:tcPr>
          <w:p w:rsidRPr="0006638A" w:rsidR="35CD470B" w:rsidP="35CD470B" w:rsidRDefault="35CD470B" w14:paraId="3C018163" w14:textId="2AA85DFA">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Decreto Legislativo 9 luglio 2003 n. 215 che attua la direttiva 2000/43/CE per la parità di trattamento tra le persone indipendentemente dalla razza e dall'origine etnica</w:t>
            </w:r>
          </w:p>
        </w:tc>
      </w:tr>
      <w:tr w:rsidR="35CD470B" w:rsidTr="0006638A" w14:paraId="1C8F872D" w14:textId="77777777">
        <w:trPr>
          <w:trHeight w:val="300"/>
        </w:trPr>
        <w:tc>
          <w:tcPr>
            <w:tcW w:w="3525" w:type="dxa"/>
            <w:tcMar>
              <w:left w:w="105" w:type="dxa"/>
              <w:right w:w="105" w:type="dxa"/>
            </w:tcMar>
            <w:vAlign w:val="center"/>
          </w:tcPr>
          <w:p w:rsidRPr="0006638A" w:rsidR="35CD470B" w:rsidP="0006638A" w:rsidRDefault="35CD470B" w14:paraId="106724E8" w14:textId="20A73C03">
            <w:pPr>
              <w:rPr>
                <w:rFonts w:ascii="Calibri" w:hAnsi="Calibri" w:eastAsia="Aptos" w:cs="Calibri"/>
                <w:color w:val="0070C0"/>
                <w:sz w:val="20"/>
                <w:szCs w:val="20"/>
              </w:rPr>
            </w:pPr>
            <w:r w:rsidRPr="0006638A">
              <w:rPr>
                <w:rFonts w:ascii="Calibri" w:hAnsi="Calibri" w:eastAsia="Aptos" w:cs="Calibri"/>
                <w:b/>
                <w:bCs/>
                <w:color w:val="0070C0"/>
                <w:sz w:val="20"/>
                <w:szCs w:val="20"/>
              </w:rPr>
              <w:t>Decreto Legislativo 23 aprile 2003, n.115.</w:t>
            </w:r>
          </w:p>
        </w:tc>
        <w:tc>
          <w:tcPr>
            <w:tcW w:w="5805" w:type="dxa"/>
            <w:tcMar>
              <w:left w:w="105" w:type="dxa"/>
              <w:right w:w="105" w:type="dxa"/>
            </w:tcMar>
          </w:tcPr>
          <w:p w:rsidRPr="0006638A" w:rsidR="35CD470B" w:rsidP="35CD470B" w:rsidRDefault="35CD470B" w14:paraId="49EF92FF" w14:textId="2CE8DF0F">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Decreto Legislativo 23 aprile 2003, n.115. Modifiche ed integrazioni al D.Lgs. 26 marzo 2001, n. 151, recante testo unico delle disposizioni legislative in materia di tutela e sostegno della maternità e della paternità, a norma dell'articolo 15 della L. 8 marzo 2000, n. 53</w:t>
            </w:r>
          </w:p>
        </w:tc>
      </w:tr>
      <w:tr w:rsidR="35CD470B" w:rsidTr="0006638A" w14:paraId="7DF51137" w14:textId="77777777">
        <w:trPr>
          <w:trHeight w:val="300"/>
        </w:trPr>
        <w:tc>
          <w:tcPr>
            <w:tcW w:w="3525" w:type="dxa"/>
            <w:tcMar>
              <w:left w:w="105" w:type="dxa"/>
              <w:right w:w="105" w:type="dxa"/>
            </w:tcMar>
            <w:vAlign w:val="center"/>
          </w:tcPr>
          <w:p w:rsidRPr="0006638A" w:rsidR="35CD470B" w:rsidP="0006638A" w:rsidRDefault="35CD470B" w14:paraId="18DCBC82" w14:textId="652D4C07">
            <w:pPr>
              <w:rPr>
                <w:rFonts w:ascii="Calibri" w:hAnsi="Calibri" w:eastAsia="Aptos" w:cs="Calibri"/>
                <w:color w:val="0070C0"/>
                <w:sz w:val="20"/>
                <w:szCs w:val="20"/>
              </w:rPr>
            </w:pPr>
            <w:r w:rsidRPr="0006638A">
              <w:rPr>
                <w:rFonts w:ascii="Calibri" w:hAnsi="Calibri" w:eastAsia="Aptos" w:cs="Calibri"/>
                <w:b/>
                <w:bCs/>
                <w:color w:val="0070C0"/>
                <w:sz w:val="20"/>
                <w:szCs w:val="20"/>
              </w:rPr>
              <w:t xml:space="preserve">Decreto Legislativo del 26 marzo 2001, n.151 e </w:t>
            </w:r>
            <w:proofErr w:type="spellStart"/>
            <w:r w:rsidRPr="0006638A">
              <w:rPr>
                <w:rFonts w:ascii="Calibri" w:hAnsi="Calibri" w:eastAsia="Aptos" w:cs="Calibri"/>
                <w:b/>
                <w:bCs/>
                <w:color w:val="0070C0"/>
                <w:sz w:val="20"/>
                <w:szCs w:val="20"/>
              </w:rPr>
              <w:t>s.m.i.</w:t>
            </w:r>
            <w:proofErr w:type="spellEnd"/>
          </w:p>
        </w:tc>
        <w:tc>
          <w:tcPr>
            <w:tcW w:w="5805" w:type="dxa"/>
            <w:tcMar>
              <w:left w:w="105" w:type="dxa"/>
              <w:right w:w="105" w:type="dxa"/>
            </w:tcMar>
          </w:tcPr>
          <w:p w:rsidRPr="0006638A" w:rsidR="35CD470B" w:rsidP="35CD470B" w:rsidRDefault="35CD470B" w14:paraId="5C3125BB" w14:textId="358072D1">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 xml:space="preserve">Decreto Legislativo del 26 marzo 2001, n.151 e </w:t>
            </w:r>
            <w:proofErr w:type="spellStart"/>
            <w:r w:rsidRPr="0006638A">
              <w:rPr>
                <w:rFonts w:ascii="Calibri" w:hAnsi="Calibri" w:eastAsia="Aptos" w:cs="Calibri"/>
                <w:color w:val="000000" w:themeColor="text1"/>
                <w:sz w:val="20"/>
                <w:szCs w:val="20"/>
              </w:rPr>
              <w:t>s.m.i.</w:t>
            </w:r>
            <w:proofErr w:type="spellEnd"/>
            <w:r w:rsidRPr="0006638A">
              <w:rPr>
                <w:rFonts w:ascii="Calibri" w:hAnsi="Calibri" w:eastAsia="Aptos" w:cs="Calibri"/>
                <w:color w:val="000000" w:themeColor="text1"/>
                <w:sz w:val="20"/>
                <w:szCs w:val="20"/>
              </w:rPr>
              <w:t xml:space="preserve"> Testo unico delle disposizioni legislative in materia di tutela e sostegno della maternità e della paternità, a norma dell'articolo 15 della L. 8 marzo 2000, n. 53</w:t>
            </w:r>
          </w:p>
        </w:tc>
      </w:tr>
      <w:tr w:rsidR="35CD470B" w:rsidTr="0006638A" w14:paraId="167F34EE" w14:textId="77777777">
        <w:trPr>
          <w:trHeight w:val="300"/>
        </w:trPr>
        <w:tc>
          <w:tcPr>
            <w:tcW w:w="3525" w:type="dxa"/>
            <w:tcMar>
              <w:left w:w="105" w:type="dxa"/>
              <w:right w:w="105" w:type="dxa"/>
            </w:tcMar>
            <w:vAlign w:val="center"/>
          </w:tcPr>
          <w:p w:rsidRPr="0006638A" w:rsidR="35CD470B" w:rsidP="0006638A" w:rsidRDefault="35CD470B" w14:paraId="7BBCE995" w14:textId="044476C9">
            <w:pPr>
              <w:rPr>
                <w:rFonts w:ascii="Calibri" w:hAnsi="Calibri" w:eastAsia="Aptos" w:cs="Calibri"/>
                <w:color w:val="0070C0"/>
                <w:sz w:val="20"/>
                <w:szCs w:val="20"/>
              </w:rPr>
            </w:pPr>
            <w:r w:rsidRPr="0006638A">
              <w:rPr>
                <w:rFonts w:ascii="Calibri" w:hAnsi="Calibri" w:eastAsia="Aptos" w:cs="Calibri"/>
                <w:b/>
                <w:bCs/>
                <w:color w:val="0070C0"/>
                <w:sz w:val="20"/>
                <w:szCs w:val="20"/>
              </w:rPr>
              <w:t xml:space="preserve">Legge 8 marzo 2000, n.53 e </w:t>
            </w:r>
            <w:proofErr w:type="spellStart"/>
            <w:r w:rsidRPr="0006638A">
              <w:rPr>
                <w:rFonts w:ascii="Calibri" w:hAnsi="Calibri" w:eastAsia="Aptos" w:cs="Calibri"/>
                <w:b/>
                <w:bCs/>
                <w:color w:val="0070C0"/>
                <w:sz w:val="20"/>
                <w:szCs w:val="20"/>
              </w:rPr>
              <w:t>s.m.i.</w:t>
            </w:r>
            <w:proofErr w:type="spellEnd"/>
          </w:p>
        </w:tc>
        <w:tc>
          <w:tcPr>
            <w:tcW w:w="5805" w:type="dxa"/>
            <w:tcMar>
              <w:left w:w="105" w:type="dxa"/>
              <w:right w:w="105" w:type="dxa"/>
            </w:tcMar>
          </w:tcPr>
          <w:p w:rsidRPr="0006638A" w:rsidR="35CD470B" w:rsidP="35CD470B" w:rsidRDefault="35CD470B" w14:paraId="38FBC246" w14:textId="3D052B93">
            <w:pPr>
              <w:rPr>
                <w:rFonts w:ascii="Calibri" w:hAnsi="Calibri" w:eastAsia="Aptos" w:cs="Calibri"/>
                <w:color w:val="000000" w:themeColor="text1"/>
                <w:sz w:val="20"/>
                <w:szCs w:val="20"/>
              </w:rPr>
            </w:pPr>
            <w:r w:rsidRPr="0006638A">
              <w:rPr>
                <w:rFonts w:ascii="Calibri" w:hAnsi="Calibri" w:eastAsia="Aptos" w:cs="Calibri"/>
                <w:color w:val="000000" w:themeColor="text1"/>
                <w:sz w:val="20"/>
                <w:szCs w:val="20"/>
              </w:rPr>
              <w:t xml:space="preserve">Legge 8 marzo 2000, n.53 e </w:t>
            </w:r>
            <w:proofErr w:type="spellStart"/>
            <w:r w:rsidRPr="0006638A">
              <w:rPr>
                <w:rFonts w:ascii="Calibri" w:hAnsi="Calibri" w:eastAsia="Aptos" w:cs="Calibri"/>
                <w:color w:val="000000" w:themeColor="text1"/>
                <w:sz w:val="20"/>
                <w:szCs w:val="20"/>
              </w:rPr>
              <w:t>s.m.i.</w:t>
            </w:r>
            <w:proofErr w:type="spellEnd"/>
            <w:r w:rsidRPr="0006638A">
              <w:rPr>
                <w:rFonts w:ascii="Calibri" w:hAnsi="Calibri" w:eastAsia="Aptos" w:cs="Calibri"/>
                <w:color w:val="000000" w:themeColor="text1"/>
                <w:sz w:val="20"/>
                <w:szCs w:val="20"/>
              </w:rPr>
              <w:t xml:space="preserve"> Disposizioni per il sostegno della maternità e della paternità, per il diritto alla cura e alla formazione e per il coordinamento dei tempi delle città</w:t>
            </w:r>
          </w:p>
        </w:tc>
      </w:tr>
    </w:tbl>
    <w:p w:rsidR="0094450B" w:rsidP="35CD470B" w:rsidRDefault="0094450B" w14:paraId="23ACDF42" w14:textId="3458D28B">
      <w:pPr>
        <w:rPr>
          <w:rFonts w:ascii="Calibri" w:hAnsi="Calibri" w:cs="Calibri"/>
          <w:b/>
          <w:bCs/>
          <w:color w:val="0070C0"/>
          <w:sz w:val="28"/>
          <w:szCs w:val="28"/>
        </w:rPr>
      </w:pPr>
    </w:p>
    <w:p w:rsidR="0094450B" w:rsidRDefault="0094450B" w14:paraId="30A19679" w14:textId="77777777">
      <w:pPr>
        <w:spacing w:after="160" w:line="259" w:lineRule="auto"/>
        <w:rPr>
          <w:rFonts w:ascii="Calibri" w:hAnsi="Calibri" w:cs="Calibri"/>
          <w:b/>
          <w:color w:val="0070C0"/>
          <w:sz w:val="28"/>
          <w:szCs w:val="28"/>
        </w:rPr>
      </w:pPr>
      <w:r>
        <w:rPr>
          <w:rFonts w:ascii="Calibri" w:hAnsi="Calibri" w:cs="Calibri"/>
          <w:b/>
          <w:color w:val="0070C0"/>
          <w:sz w:val="28"/>
          <w:szCs w:val="28"/>
        </w:rPr>
        <w:br w:type="page"/>
      </w:r>
    </w:p>
    <w:p w:rsidRPr="002A24EF" w:rsidR="005010A2" w:rsidP="009C5076" w:rsidRDefault="52C5CEAB" w14:paraId="2F654BC2" w14:textId="310BB303">
      <w:pPr>
        <w:pStyle w:val="Heading1"/>
        <w:numPr>
          <w:ilvl w:val="0"/>
          <w:numId w:val="26"/>
        </w:numPr>
        <w:rPr>
          <w:rFonts w:ascii="Calibri" w:hAnsi="Calibri" w:cs="Calibri"/>
          <w:b/>
          <w:bCs/>
          <w:color w:val="0070C0"/>
          <w:sz w:val="32"/>
          <w:szCs w:val="32"/>
        </w:rPr>
      </w:pPr>
      <w:bookmarkStart w:name="_Toc190354104" w:id="15"/>
      <w:r w:rsidRPr="52C5CEAB">
        <w:rPr>
          <w:rFonts w:ascii="Calibri" w:hAnsi="Calibri" w:cs="Calibri"/>
          <w:b/>
          <w:bCs/>
          <w:color w:val="0070C0"/>
          <w:sz w:val="32"/>
          <w:szCs w:val="32"/>
        </w:rPr>
        <w:t>Ambito di riferimento</w:t>
      </w:r>
      <w:bookmarkEnd w:id="15"/>
    </w:p>
    <w:p w:rsidRPr="00A35F03" w:rsidR="000902EF" w:rsidP="005E0A67" w:rsidRDefault="35CD470B" w14:paraId="080D757D" w14:textId="1F46E603">
      <w:pPr>
        <w:spacing w:before="120" w:after="120" w:line="276" w:lineRule="auto"/>
        <w:jc w:val="both"/>
        <w:rPr>
          <w:rFonts w:ascii="Calibri" w:hAnsi="Calibri" w:cs="Calibri"/>
        </w:rPr>
      </w:pPr>
      <w:r w:rsidRPr="35CD470B">
        <w:rPr>
          <w:rFonts w:ascii="Calibri" w:hAnsi="Calibri" w:cs="Calibri"/>
        </w:rPr>
        <w:t xml:space="preserve">L’art. 74 del Regolamento (UE) n. 2021/1060 stabilisce, tra gli altri, specifici obblighi e compiti in capo all’AdG finalizzati a garantire attraverso puntuali verifiche che i prodotti e i servizi cofinanziati siano stati forniti e che l’operazione rispetti la normativa applicabile, il programma e le condizioni di sostegno. L’AdG deve altresì garantire che il Beneficiario riceva l’importo dovuto entro 80 giorni dalla presentazione della domanda di pagamento, salvo interruzione dei termini previste da norma. L'Autorità di Gestione deve, infine, adottare misure e procedure antifrode efficaci e proporzionate, prevenire, rilevare e correggere le irregolarità, garantire che le spese registrate nei conti siano legittime e regolari, e redigere la dichiarazione di gestione seguendo il modello indicato nell'Allegato XVIII del Reg. (UE) 2021/1060. </w:t>
      </w:r>
    </w:p>
    <w:p w:rsidRPr="002A24EF" w:rsidR="0008498C" w:rsidP="35CD470B" w:rsidRDefault="35CD470B" w14:paraId="55F29B76" w14:textId="1CF8D9FB">
      <w:pPr>
        <w:spacing w:before="240" w:after="240" w:line="276" w:lineRule="auto"/>
        <w:contextualSpacing/>
        <w:jc w:val="both"/>
        <w:rPr>
          <w:rFonts w:ascii="Calibri" w:hAnsi="Calibri" w:cs="Calibri"/>
        </w:rPr>
      </w:pPr>
      <w:r w:rsidRPr="35CD470B">
        <w:rPr>
          <w:rFonts w:ascii="Calibri" w:hAnsi="Calibri" w:cs="Calibri"/>
        </w:rPr>
        <w:t xml:space="preserve">Nel perimetro normativo sopra delineato, si inserisce il presente </w:t>
      </w:r>
      <w:r w:rsidRPr="35CD470B">
        <w:rPr>
          <w:rFonts w:ascii="Calibri" w:hAnsi="Calibri" w:cs="Calibri"/>
          <w:b/>
          <w:bCs/>
        </w:rPr>
        <w:t>Manuale delle verifiche di Gestione</w:t>
      </w:r>
      <w:r w:rsidRPr="35CD470B">
        <w:rPr>
          <w:rFonts w:ascii="Calibri" w:hAnsi="Calibri" w:cs="Calibri"/>
        </w:rPr>
        <w:t xml:space="preserve"> che integra e completa il documento “Descrizione dei Sistemi di Gestione e Controllo (Si.Ge.Co.)” del PN Cultura 21-27 e fornisce un supporto operativo all’Unità Operativa 4 ed alla DG-OR-Servizio I, quali strutture responsabili delle verifiche di gestione, individuate nell’ambito del Si.Ge.Co. (cfr. </w:t>
      </w:r>
      <w:r w:rsidRPr="35CD470B">
        <w:rPr>
          <w:rFonts w:ascii="Calibri" w:hAnsi="Calibri" w:eastAsia="Calibri" w:cs="Calibri"/>
        </w:rPr>
        <w:t xml:space="preserve">Allegato </w:t>
      </w:r>
      <w:proofErr w:type="spellStart"/>
      <w:r w:rsidRPr="35CD470B">
        <w:rPr>
          <w:rFonts w:ascii="Calibri" w:hAnsi="Calibri" w:eastAsia="Calibri" w:cs="Calibri"/>
        </w:rPr>
        <w:t>B_Manuale</w:t>
      </w:r>
      <w:proofErr w:type="spellEnd"/>
      <w:r w:rsidRPr="35CD470B">
        <w:rPr>
          <w:rFonts w:ascii="Calibri" w:hAnsi="Calibri" w:eastAsia="Calibri" w:cs="Calibri"/>
        </w:rPr>
        <w:t xml:space="preserve"> procedure AdG_v1.1)</w:t>
      </w:r>
      <w:r w:rsidRPr="35CD470B">
        <w:rPr>
          <w:rFonts w:ascii="Calibri" w:hAnsi="Calibri" w:cs="Calibri"/>
        </w:rPr>
        <w:t xml:space="preserve">, richiamando le norme di riferimento e mettendo a disposizione procedure, modelli e strumenti da utilizzare per lo svolgimento e la formalizzazione delle verifiche stesse. La normativa di riferimento della Programmazione 2021 2027, in continuità con il settennio precedente, contiene indicazioni relative al contenuto e alle modalità di esecuzione delle verifiche di gestione (controlli di primo livello). </w:t>
      </w:r>
    </w:p>
    <w:p w:rsidR="35CD470B" w:rsidP="35CD470B" w:rsidRDefault="35CD470B" w14:paraId="4906C3F2" w14:textId="581488E9">
      <w:pPr>
        <w:spacing w:before="120" w:after="120" w:line="276" w:lineRule="auto"/>
        <w:contextualSpacing/>
        <w:jc w:val="both"/>
        <w:rPr>
          <w:rFonts w:ascii="Calibri" w:hAnsi="Calibri" w:cs="Calibri"/>
        </w:rPr>
      </w:pPr>
    </w:p>
    <w:p w:rsidRPr="002A24EF" w:rsidR="00D7051D" w:rsidP="005E0A67" w:rsidRDefault="35CD470B" w14:paraId="13D16847" w14:textId="4D56E368">
      <w:pPr>
        <w:spacing w:before="120" w:after="120" w:line="276" w:lineRule="auto"/>
        <w:contextualSpacing/>
        <w:jc w:val="both"/>
        <w:rPr>
          <w:rFonts w:ascii="Calibri" w:hAnsi="Calibri" w:cs="Calibri"/>
        </w:rPr>
      </w:pPr>
      <w:r w:rsidRPr="35CD470B">
        <w:rPr>
          <w:rFonts w:ascii="Calibri" w:hAnsi="Calibri" w:cs="Calibri"/>
        </w:rPr>
        <w:t>Con particolare riferimento alle verifiche di gestione, di competenza dell’Autorità di Gestione, queste si articolano in:</w:t>
      </w:r>
    </w:p>
    <w:p w:rsidRPr="002A24EF" w:rsidR="00D7051D" w:rsidP="009C5076" w:rsidRDefault="00D7051D" w14:paraId="639A1BAC" w14:textId="77777777">
      <w:pPr>
        <w:pStyle w:val="ListParagraph"/>
        <w:numPr>
          <w:ilvl w:val="0"/>
          <w:numId w:val="31"/>
        </w:numPr>
        <w:spacing w:before="120" w:after="120"/>
        <w:jc w:val="both"/>
        <w:rPr>
          <w:rFonts w:ascii="Calibri" w:hAnsi="Calibri" w:cs="Calibri"/>
        </w:rPr>
      </w:pPr>
      <w:r w:rsidRPr="002A24EF">
        <w:rPr>
          <w:rFonts w:ascii="Calibri" w:hAnsi="Calibri" w:cs="Calibri"/>
        </w:rPr>
        <w:t>Verifiche amministrative delle domande di rimborso;</w:t>
      </w:r>
    </w:p>
    <w:p w:rsidRPr="002A24EF" w:rsidR="00D7051D" w:rsidP="009C5076" w:rsidRDefault="00D7051D" w14:paraId="2A2471F3" w14:textId="77777777">
      <w:pPr>
        <w:pStyle w:val="ListParagraph"/>
        <w:numPr>
          <w:ilvl w:val="0"/>
          <w:numId w:val="31"/>
        </w:numPr>
        <w:spacing w:before="120" w:after="120"/>
        <w:jc w:val="both"/>
        <w:rPr>
          <w:rFonts w:ascii="Calibri" w:hAnsi="Calibri" w:cs="Calibri"/>
        </w:rPr>
      </w:pPr>
      <w:r w:rsidRPr="002A24EF">
        <w:rPr>
          <w:rFonts w:ascii="Calibri" w:hAnsi="Calibri" w:cs="Calibri"/>
        </w:rPr>
        <w:t>Verifiche in loco delle operazioni.</w:t>
      </w:r>
    </w:p>
    <w:p w:rsidRPr="002A24EF" w:rsidR="00C12C74" w:rsidP="005E0A67" w:rsidRDefault="35CD470B" w14:paraId="78E393BC" w14:textId="6721D635">
      <w:pPr>
        <w:spacing w:before="120" w:after="120" w:line="276" w:lineRule="auto"/>
        <w:jc w:val="both"/>
        <w:rPr>
          <w:rFonts w:ascii="Calibri" w:hAnsi="Calibri" w:cs="Calibri"/>
        </w:rPr>
      </w:pPr>
      <w:r w:rsidRPr="35CD470B">
        <w:rPr>
          <w:rFonts w:ascii="Calibri" w:hAnsi="Calibri" w:cs="Calibri"/>
        </w:rPr>
        <w:t>Entrambe le tipologie di verifiche saranno effettuate su un campione selezionato sulla base di un’analisi del rischio e proporzionato ai rischi individuati, in conformità a quanto stabilito dal considerando 62 del Reg. (UE) n. 2021/1060. Questo principio mira a garantire un equilibrio tra l’efficace ed efficiente attuazione dei fondi e i relativi costi e oneri amministrativi. Di conseguenza, le verifiche vengono eseguite a</w:t>
      </w:r>
      <w:r w:rsidRPr="35CD470B">
        <w:rPr>
          <w:rFonts w:ascii="Calibri" w:hAnsi="Calibri" w:cs="Calibri"/>
          <w:b/>
          <w:bCs/>
        </w:rPr>
        <w:t xml:space="preserve"> campione</w:t>
      </w:r>
      <w:r w:rsidRPr="35CD470B">
        <w:rPr>
          <w:rFonts w:ascii="Calibri" w:hAnsi="Calibri" w:cs="Calibri"/>
        </w:rPr>
        <w:t>, sulla base di una valutazione del rischio ex ante definita dall’AdG.</w:t>
      </w:r>
    </w:p>
    <w:p w:rsidR="31D6E6F2" w:rsidP="005E0A67" w:rsidRDefault="00C12C74" w14:paraId="13AC818A" w14:textId="4E44AD4D">
      <w:pPr>
        <w:spacing w:before="120" w:after="120" w:line="276" w:lineRule="auto"/>
        <w:jc w:val="both"/>
        <w:rPr>
          <w:rFonts w:ascii="Calibri" w:hAnsi="Calibri" w:cs="Calibri"/>
        </w:rPr>
      </w:pPr>
      <w:r w:rsidRPr="002A24EF">
        <w:rPr>
          <w:rFonts w:ascii="Calibri" w:hAnsi="Calibri" w:cs="Calibri"/>
        </w:rPr>
        <w:t xml:space="preserve">Secondo quanto indicato nel documento della Commissione </w:t>
      </w:r>
      <w:proofErr w:type="spellStart"/>
      <w:r w:rsidRPr="002A24EF">
        <w:rPr>
          <w:rFonts w:ascii="Calibri" w:hAnsi="Calibri" w:cs="Calibri"/>
          <w:i/>
          <w:iCs/>
        </w:rPr>
        <w:t>Reflection</w:t>
      </w:r>
      <w:proofErr w:type="spellEnd"/>
      <w:r w:rsidRPr="002A24EF">
        <w:rPr>
          <w:rFonts w:ascii="Calibri" w:hAnsi="Calibri" w:cs="Calibri"/>
          <w:i/>
          <w:iCs/>
        </w:rPr>
        <w:t xml:space="preserve"> Paper on Risk-</w:t>
      </w:r>
      <w:proofErr w:type="spellStart"/>
      <w:r w:rsidRPr="002A24EF">
        <w:rPr>
          <w:rFonts w:ascii="Calibri" w:hAnsi="Calibri" w:cs="Calibri"/>
          <w:i/>
          <w:iCs/>
        </w:rPr>
        <w:t>Based</w:t>
      </w:r>
      <w:proofErr w:type="spellEnd"/>
      <w:r w:rsidRPr="002A24EF">
        <w:rPr>
          <w:rFonts w:ascii="Calibri" w:hAnsi="Calibri" w:cs="Calibri"/>
          <w:i/>
          <w:iCs/>
        </w:rPr>
        <w:t xml:space="preserve"> Management </w:t>
      </w:r>
      <w:proofErr w:type="spellStart"/>
      <w:r w:rsidRPr="002A24EF">
        <w:rPr>
          <w:rFonts w:ascii="Calibri" w:hAnsi="Calibri" w:cs="Calibri"/>
          <w:i/>
          <w:iCs/>
        </w:rPr>
        <w:t>Verifications</w:t>
      </w:r>
      <w:proofErr w:type="spellEnd"/>
      <w:r w:rsidRPr="002A24EF">
        <w:rPr>
          <w:rFonts w:ascii="Calibri" w:hAnsi="Calibri" w:cs="Calibri"/>
        </w:rPr>
        <w:t>, la valutazione del rischio ex ante consente di focalizzare le verifiche sui rischi maggiori a livello di operazioni, beneficiari e domande di rimborso. È possibile condurre verifiche sul 100% delle operazioni solo se debitamente giustificato dalla valutazione dei rischi.</w:t>
      </w:r>
    </w:p>
    <w:p w:rsidR="00F044FC" w:rsidP="31D6E6F2" w:rsidRDefault="00F044FC" w14:paraId="4A596083" w14:textId="77777777">
      <w:pPr>
        <w:spacing w:before="120" w:after="120" w:line="276" w:lineRule="auto"/>
        <w:jc w:val="both"/>
        <w:rPr>
          <w:rFonts w:ascii="Calibri" w:hAnsi="Calibri" w:cs="Calibri"/>
        </w:rPr>
      </w:pPr>
    </w:p>
    <w:p w:rsidR="00F044FC" w:rsidP="31D6E6F2" w:rsidRDefault="00F044FC" w14:paraId="4615872A" w14:textId="77777777">
      <w:pPr>
        <w:spacing w:before="120" w:after="120" w:line="276" w:lineRule="auto"/>
        <w:jc w:val="both"/>
        <w:rPr>
          <w:rFonts w:ascii="Calibri" w:hAnsi="Calibri" w:cs="Calibri"/>
        </w:rPr>
      </w:pPr>
    </w:p>
    <w:p w:rsidR="004F771C" w:rsidP="31D6E6F2" w:rsidRDefault="004F771C" w14:paraId="22C4074F" w14:textId="77777777">
      <w:pPr>
        <w:spacing w:before="120" w:after="120" w:line="276" w:lineRule="auto"/>
        <w:jc w:val="both"/>
        <w:rPr>
          <w:rFonts w:ascii="Calibri" w:hAnsi="Calibri" w:cs="Calibri"/>
        </w:rPr>
      </w:pPr>
    </w:p>
    <w:p w:rsidR="004F771C" w:rsidP="31D6E6F2" w:rsidRDefault="004F771C" w14:paraId="57293E86" w14:textId="77777777">
      <w:pPr>
        <w:spacing w:before="120" w:after="120" w:line="276" w:lineRule="auto"/>
        <w:jc w:val="both"/>
        <w:rPr>
          <w:rFonts w:ascii="Calibri" w:hAnsi="Calibri" w:cs="Calibri"/>
        </w:rPr>
      </w:pPr>
    </w:p>
    <w:p w:rsidRPr="002A24EF" w:rsidR="00E6640C" w:rsidP="31D6E6F2" w:rsidRDefault="00E6640C" w14:paraId="35C20D17" w14:textId="77777777">
      <w:pPr>
        <w:spacing w:before="120" w:after="120" w:line="276" w:lineRule="auto"/>
        <w:jc w:val="both"/>
        <w:rPr>
          <w:rFonts w:ascii="Calibri" w:hAnsi="Calibri" w:cs="Calibri"/>
        </w:rPr>
      </w:pPr>
    </w:p>
    <w:p w:rsidRPr="002A24EF" w:rsidR="00C12C74" w:rsidP="00C12C74" w:rsidRDefault="00C12C74" w14:paraId="1B0EAD07" w14:textId="77777777">
      <w:pPr>
        <w:spacing w:before="120" w:after="120"/>
        <w:jc w:val="both"/>
        <w:rPr>
          <w:rFonts w:ascii="Calibri" w:hAnsi="Calibri" w:cs="Calibri"/>
          <w:b/>
          <w:bCs/>
        </w:rPr>
      </w:pPr>
      <w:r w:rsidRPr="002A24EF">
        <w:rPr>
          <w:rFonts w:ascii="Calibri" w:hAnsi="Calibri" w:cs="Calibri"/>
          <w:b/>
          <w:bCs/>
        </w:rPr>
        <w:t>Tabella comparativa delle verifiche di gestione</w:t>
      </w:r>
    </w:p>
    <w:tbl>
      <w:tblPr>
        <w:tblStyle w:val="TableGrid"/>
        <w:tblW w:w="5000" w:type="pct"/>
        <w:tblLook w:val="04A0" w:firstRow="1" w:lastRow="0" w:firstColumn="1" w:lastColumn="0" w:noHBand="0" w:noVBand="1"/>
      </w:tblPr>
      <w:tblGrid>
        <w:gridCol w:w="4629"/>
        <w:gridCol w:w="4999"/>
      </w:tblGrid>
      <w:tr w:rsidRPr="002A24EF" w:rsidR="00C12C74" w14:paraId="1F722DC0" w14:textId="77777777">
        <w:tc>
          <w:tcPr>
            <w:tcW w:w="2404" w:type="pct"/>
            <w:shd w:val="clear" w:color="auto" w:fill="4C94D8" w:themeFill="text2" w:themeFillTint="80"/>
          </w:tcPr>
          <w:p w:rsidRPr="002A24EF" w:rsidR="00C12C74" w:rsidRDefault="00C12C74" w14:paraId="250F7559" w14:textId="1A135B15">
            <w:pPr>
              <w:spacing w:before="120" w:after="120"/>
              <w:contextualSpacing/>
              <w:jc w:val="center"/>
              <w:rPr>
                <w:rFonts w:ascii="Calibri" w:hAnsi="Calibri" w:cs="Calibri"/>
                <w:b/>
                <w:color w:val="FFFFFF" w:themeColor="background1"/>
                <w:sz w:val="22"/>
                <w:szCs w:val="22"/>
              </w:rPr>
            </w:pPr>
            <w:r w:rsidRPr="002A24EF">
              <w:rPr>
                <w:rFonts w:ascii="Calibri" w:hAnsi="Calibri" w:cs="Calibri"/>
                <w:b/>
                <w:color w:val="FFFFFF" w:themeColor="background1"/>
                <w:sz w:val="22"/>
                <w:szCs w:val="22"/>
              </w:rPr>
              <w:t>Verifiche di gestione periodo di programmazione 2014-2020 art</w:t>
            </w:r>
            <w:r w:rsidR="002673FD">
              <w:rPr>
                <w:rFonts w:ascii="Calibri" w:hAnsi="Calibri" w:cs="Calibri"/>
                <w:b/>
                <w:color w:val="FFFFFF" w:themeColor="background1"/>
                <w:sz w:val="22"/>
                <w:szCs w:val="22"/>
              </w:rPr>
              <w:t>.</w:t>
            </w:r>
            <w:r w:rsidRPr="002A24EF">
              <w:rPr>
                <w:rFonts w:ascii="Calibri" w:hAnsi="Calibri" w:cs="Calibri"/>
                <w:b/>
                <w:color w:val="FFFFFF" w:themeColor="background1"/>
                <w:sz w:val="22"/>
                <w:szCs w:val="22"/>
              </w:rPr>
              <w:t xml:space="preserve"> </w:t>
            </w:r>
            <w:r w:rsidR="00246761">
              <w:rPr>
                <w:rFonts w:ascii="Calibri" w:hAnsi="Calibri" w:cs="Calibri"/>
                <w:b/>
                <w:color w:val="FFFFFF" w:themeColor="background1"/>
                <w:sz w:val="22"/>
                <w:szCs w:val="22"/>
              </w:rPr>
              <w:t>125, paragrafo 5,</w:t>
            </w:r>
            <w:r w:rsidR="0044241D">
              <w:rPr>
                <w:rFonts w:ascii="Calibri" w:hAnsi="Calibri" w:cs="Calibri"/>
                <w:b/>
                <w:color w:val="FFFFFF" w:themeColor="background1"/>
                <w:sz w:val="22"/>
                <w:szCs w:val="22"/>
              </w:rPr>
              <w:t xml:space="preserve"> </w:t>
            </w:r>
            <w:r w:rsidR="00182189">
              <w:rPr>
                <w:rFonts w:ascii="Calibri" w:hAnsi="Calibri" w:cs="Calibri"/>
                <w:b/>
                <w:color w:val="FFFFFF" w:themeColor="background1"/>
                <w:sz w:val="22"/>
                <w:szCs w:val="22"/>
              </w:rPr>
              <w:t>del Regolamento (UE) 1303/2013</w:t>
            </w:r>
          </w:p>
        </w:tc>
        <w:tc>
          <w:tcPr>
            <w:tcW w:w="2596" w:type="pct"/>
            <w:shd w:val="clear" w:color="auto" w:fill="4C94D8" w:themeFill="text2" w:themeFillTint="80"/>
          </w:tcPr>
          <w:p w:rsidRPr="002A24EF" w:rsidR="00C12C74" w:rsidRDefault="00C12C74" w14:paraId="5D159140" w14:textId="79AF7E74">
            <w:pPr>
              <w:spacing w:before="120" w:after="120"/>
              <w:contextualSpacing/>
              <w:jc w:val="center"/>
              <w:rPr>
                <w:rFonts w:ascii="Calibri" w:hAnsi="Calibri" w:cs="Calibri"/>
                <w:b/>
                <w:color w:val="FFFFFF" w:themeColor="background1"/>
                <w:sz w:val="22"/>
                <w:szCs w:val="22"/>
              </w:rPr>
            </w:pPr>
            <w:r w:rsidRPr="002A24EF">
              <w:rPr>
                <w:rFonts w:ascii="Calibri" w:hAnsi="Calibri" w:cs="Calibri"/>
                <w:b/>
                <w:color w:val="FFFFFF" w:themeColor="background1"/>
                <w:sz w:val="22"/>
                <w:szCs w:val="22"/>
              </w:rPr>
              <w:t>Verifiche di gestione periodo di programmazione 2021-2027 art</w:t>
            </w:r>
            <w:r w:rsidR="002673FD">
              <w:rPr>
                <w:rFonts w:ascii="Calibri" w:hAnsi="Calibri" w:cs="Calibri"/>
                <w:b/>
                <w:color w:val="FFFFFF" w:themeColor="background1"/>
                <w:sz w:val="22"/>
                <w:szCs w:val="22"/>
              </w:rPr>
              <w:t>.</w:t>
            </w:r>
            <w:r w:rsidRPr="002A24EF">
              <w:rPr>
                <w:rFonts w:ascii="Calibri" w:hAnsi="Calibri" w:cs="Calibri"/>
                <w:b/>
                <w:color w:val="FFFFFF" w:themeColor="background1"/>
                <w:sz w:val="22"/>
                <w:szCs w:val="22"/>
              </w:rPr>
              <w:t xml:space="preserve"> </w:t>
            </w:r>
            <w:r w:rsidR="00D3714B">
              <w:rPr>
                <w:rFonts w:ascii="Calibri" w:hAnsi="Calibri" w:cs="Calibri"/>
                <w:b/>
                <w:color w:val="FFFFFF" w:themeColor="background1"/>
                <w:sz w:val="22"/>
                <w:szCs w:val="22"/>
              </w:rPr>
              <w:t>74</w:t>
            </w:r>
            <w:r w:rsidR="001C7BEB">
              <w:rPr>
                <w:rFonts w:ascii="Calibri" w:hAnsi="Calibri" w:cs="Calibri"/>
                <w:b/>
                <w:color w:val="FFFFFF" w:themeColor="background1"/>
                <w:sz w:val="22"/>
                <w:szCs w:val="22"/>
              </w:rPr>
              <w:t>, paragrafo 1</w:t>
            </w:r>
            <w:r w:rsidR="00374C48">
              <w:rPr>
                <w:rFonts w:ascii="Calibri" w:hAnsi="Calibri" w:cs="Calibri"/>
                <w:b/>
                <w:color w:val="FFFFFF" w:themeColor="background1"/>
                <w:sz w:val="22"/>
                <w:szCs w:val="22"/>
              </w:rPr>
              <w:t>, del Regolamento (UE) 2021/1060</w:t>
            </w:r>
          </w:p>
        </w:tc>
      </w:tr>
      <w:tr w:rsidRPr="002A24EF" w:rsidR="00C12C74" w14:paraId="2D2C4494" w14:textId="77777777">
        <w:tc>
          <w:tcPr>
            <w:tcW w:w="2404" w:type="pct"/>
          </w:tcPr>
          <w:p w:rsidRPr="002A24EF" w:rsidR="00C12C74" w:rsidRDefault="00C12C74" w14:paraId="7A51EEFF" w14:textId="77777777">
            <w:pPr>
              <w:spacing w:before="120" w:after="120"/>
              <w:contextualSpacing/>
              <w:jc w:val="both"/>
              <w:rPr>
                <w:rFonts w:ascii="Calibri" w:hAnsi="Calibri" w:cs="Calibri"/>
                <w:sz w:val="22"/>
                <w:szCs w:val="22"/>
              </w:rPr>
            </w:pPr>
            <w:r w:rsidRPr="002A24EF">
              <w:rPr>
                <w:rFonts w:ascii="Calibri" w:hAnsi="Calibri" w:cs="Calibri"/>
                <w:b/>
                <w:bCs/>
                <w:i/>
                <w:iCs/>
                <w:sz w:val="22"/>
                <w:szCs w:val="22"/>
              </w:rPr>
              <w:t>Verifiche amministrative</w:t>
            </w:r>
            <w:r w:rsidRPr="002A24EF">
              <w:rPr>
                <w:rFonts w:ascii="Calibri" w:hAnsi="Calibri" w:cs="Calibri"/>
                <w:b/>
                <w:bCs/>
                <w:sz w:val="22"/>
                <w:szCs w:val="22"/>
              </w:rPr>
              <w:t>:</w:t>
            </w:r>
            <w:r w:rsidRPr="002A24EF">
              <w:rPr>
                <w:rFonts w:ascii="Calibri" w:hAnsi="Calibri" w:cs="Calibri"/>
                <w:sz w:val="22"/>
                <w:szCs w:val="22"/>
              </w:rPr>
              <w:t xml:space="preserve"> Svolte sul 100% delle domande di rimborso dei beneficiari e prima della certificazione delle spese alla CE</w:t>
            </w:r>
          </w:p>
        </w:tc>
        <w:tc>
          <w:tcPr>
            <w:tcW w:w="2596" w:type="pct"/>
          </w:tcPr>
          <w:p w:rsidRPr="002A24EF" w:rsidR="00C12C74" w:rsidRDefault="00C12C74" w14:paraId="344A9B15" w14:textId="77777777">
            <w:pPr>
              <w:spacing w:before="120" w:after="120"/>
              <w:contextualSpacing/>
              <w:jc w:val="both"/>
              <w:rPr>
                <w:rFonts w:ascii="Calibri" w:hAnsi="Calibri" w:cs="Calibri"/>
                <w:sz w:val="22"/>
                <w:szCs w:val="22"/>
              </w:rPr>
            </w:pPr>
            <w:r w:rsidRPr="002A24EF">
              <w:rPr>
                <w:rFonts w:ascii="Calibri" w:hAnsi="Calibri" w:cs="Calibri"/>
                <w:b/>
                <w:bCs/>
                <w:i/>
                <w:iCs/>
                <w:sz w:val="22"/>
                <w:szCs w:val="22"/>
              </w:rPr>
              <w:t>Verifiche amministrative:</w:t>
            </w:r>
            <w:r w:rsidRPr="002A24EF">
              <w:rPr>
                <w:rFonts w:ascii="Calibri" w:hAnsi="Calibri" w:cs="Calibri"/>
                <w:sz w:val="22"/>
                <w:szCs w:val="22"/>
              </w:rPr>
              <w:t xml:space="preserve"> Svolte a campione sulle domande di rimborso selezionate sulla base di un’analisi dei rischi svolta </w:t>
            </w:r>
            <w:r w:rsidRPr="002A24EF">
              <w:rPr>
                <w:rFonts w:ascii="Calibri" w:hAnsi="Calibri" w:cs="Calibri"/>
                <w:i/>
                <w:iCs/>
                <w:sz w:val="22"/>
                <w:szCs w:val="22"/>
              </w:rPr>
              <w:t xml:space="preserve">ex ante </w:t>
            </w:r>
            <w:r w:rsidRPr="002A24EF">
              <w:rPr>
                <w:rFonts w:ascii="Calibri" w:hAnsi="Calibri" w:cs="Calibri"/>
                <w:sz w:val="22"/>
                <w:szCs w:val="22"/>
              </w:rPr>
              <w:t>(in fase di selezione) e concluse prima della presentazione della domanda di pagamento intermedia e/o intermedia-finale</w:t>
            </w:r>
          </w:p>
        </w:tc>
      </w:tr>
      <w:tr w:rsidRPr="002A24EF" w:rsidR="00C12C74" w14:paraId="6EE7292D" w14:textId="77777777">
        <w:tc>
          <w:tcPr>
            <w:tcW w:w="2404" w:type="pct"/>
          </w:tcPr>
          <w:p w:rsidRPr="002A24EF" w:rsidR="00C12C74" w:rsidRDefault="00C12C74" w14:paraId="164FB457" w14:textId="77777777">
            <w:pPr>
              <w:spacing w:before="120" w:after="120"/>
              <w:contextualSpacing/>
              <w:jc w:val="both"/>
              <w:rPr>
                <w:rFonts w:ascii="Calibri" w:hAnsi="Calibri" w:cs="Calibri"/>
                <w:sz w:val="22"/>
                <w:szCs w:val="22"/>
              </w:rPr>
            </w:pPr>
            <w:r w:rsidRPr="002A24EF">
              <w:rPr>
                <w:rFonts w:ascii="Calibri" w:hAnsi="Calibri" w:cs="Calibri"/>
                <w:b/>
                <w:bCs/>
                <w:i/>
                <w:iCs/>
                <w:sz w:val="22"/>
                <w:szCs w:val="22"/>
              </w:rPr>
              <w:t>Verifiche in loco:</w:t>
            </w:r>
            <w:r w:rsidRPr="002A24EF">
              <w:rPr>
                <w:rFonts w:ascii="Calibri" w:hAnsi="Calibri" w:cs="Calibri"/>
                <w:sz w:val="22"/>
                <w:szCs w:val="22"/>
              </w:rPr>
              <w:t xml:space="preserve"> A campione e concluse prima della presentazione dei Conti</w:t>
            </w:r>
          </w:p>
        </w:tc>
        <w:tc>
          <w:tcPr>
            <w:tcW w:w="2596" w:type="pct"/>
          </w:tcPr>
          <w:p w:rsidRPr="002A24EF" w:rsidR="00C12C74" w:rsidRDefault="00C12C74" w14:paraId="0AC62787" w14:textId="77777777">
            <w:pPr>
              <w:spacing w:before="120" w:after="120"/>
              <w:contextualSpacing/>
              <w:jc w:val="both"/>
              <w:rPr>
                <w:rFonts w:ascii="Calibri" w:hAnsi="Calibri" w:cs="Calibri"/>
                <w:sz w:val="22"/>
                <w:szCs w:val="22"/>
              </w:rPr>
            </w:pPr>
            <w:r w:rsidRPr="002A24EF">
              <w:rPr>
                <w:rFonts w:ascii="Calibri" w:hAnsi="Calibri" w:cs="Calibri"/>
                <w:b/>
                <w:bCs/>
                <w:i/>
                <w:iCs/>
                <w:sz w:val="22"/>
                <w:szCs w:val="22"/>
              </w:rPr>
              <w:t>Verifiche in loco</w:t>
            </w:r>
            <w:r w:rsidRPr="002A24EF">
              <w:rPr>
                <w:rFonts w:ascii="Calibri" w:hAnsi="Calibri" w:cs="Calibri"/>
                <w:b/>
                <w:bCs/>
                <w:sz w:val="22"/>
                <w:szCs w:val="22"/>
              </w:rPr>
              <w:t>:</w:t>
            </w:r>
            <w:r w:rsidRPr="002A24EF">
              <w:rPr>
                <w:rFonts w:ascii="Calibri" w:hAnsi="Calibri" w:cs="Calibri"/>
                <w:sz w:val="22"/>
                <w:szCs w:val="22"/>
              </w:rPr>
              <w:t xml:space="preserve"> A campione e concluse prima della presentazione dei Conti</w:t>
            </w:r>
          </w:p>
        </w:tc>
      </w:tr>
    </w:tbl>
    <w:p w:rsidRPr="002A24EF" w:rsidR="00835738" w:rsidP="35CD470B" w:rsidRDefault="35CD470B" w14:paraId="5BCF313C" w14:textId="58969F0A">
      <w:pPr>
        <w:spacing w:before="240" w:after="240" w:line="276" w:lineRule="auto"/>
        <w:jc w:val="both"/>
        <w:rPr>
          <w:rFonts w:ascii="Calibri" w:hAnsi="Calibri" w:eastAsia="Garamond" w:cs="Calibri"/>
        </w:rPr>
      </w:pPr>
      <w:r w:rsidRPr="35CD470B">
        <w:rPr>
          <w:rFonts w:ascii="Calibri" w:hAnsi="Calibri" w:eastAsia="Garamond" w:cs="Calibri"/>
        </w:rPr>
        <w:t xml:space="preserve">Il PN Cultura 2021-2027 adotterà come sistema informativo di gestione dei progetti </w:t>
      </w:r>
      <w:proofErr w:type="spellStart"/>
      <w:r w:rsidRPr="35CD470B">
        <w:rPr>
          <w:rFonts w:ascii="Calibri" w:hAnsi="Calibri" w:eastAsia="Garamond" w:cs="Calibri"/>
        </w:rPr>
        <w:t>ReGiS</w:t>
      </w:r>
      <w:proofErr w:type="spellEnd"/>
      <w:r w:rsidRPr="35CD470B">
        <w:rPr>
          <w:rFonts w:ascii="Calibri" w:hAnsi="Calibri" w:eastAsia="Garamond" w:cs="Calibri"/>
        </w:rPr>
        <w:t xml:space="preserve"> “Coesione”, tuttavia, al momento della redazione del presente manuale, l’amministrazione utilizza per la gestione e archiviazione documentale il </w:t>
      </w:r>
      <w:r w:rsidRPr="35CD470B">
        <w:rPr>
          <w:rFonts w:ascii="Calibri" w:hAnsi="Calibri" w:cs="Calibri"/>
        </w:rPr>
        <w:t xml:space="preserve">sistema informativo </w:t>
      </w:r>
      <w:r w:rsidRPr="35CD470B">
        <w:rPr>
          <w:rFonts w:ascii="Calibri" w:hAnsi="Calibri" w:cs="Calibri"/>
          <w:b/>
          <w:bCs/>
        </w:rPr>
        <w:t>GIADA</w:t>
      </w:r>
      <w:r w:rsidRPr="35CD470B">
        <w:rPr>
          <w:rFonts w:ascii="Calibri" w:hAnsi="Calibri" w:cs="Calibri"/>
        </w:rPr>
        <w:t xml:space="preserve"> e il cloud del </w:t>
      </w:r>
      <w:proofErr w:type="spellStart"/>
      <w:r w:rsidRPr="35CD470B">
        <w:rPr>
          <w:rFonts w:ascii="Calibri" w:hAnsi="Calibri" w:cs="Calibri"/>
        </w:rPr>
        <w:t>MiC</w:t>
      </w:r>
      <w:proofErr w:type="spellEnd"/>
      <w:r w:rsidRPr="35CD470B">
        <w:rPr>
          <w:rFonts w:ascii="Calibri" w:hAnsi="Calibri" w:cs="Calibri"/>
        </w:rPr>
        <w:t xml:space="preserve"> "</w:t>
      </w:r>
      <w:r w:rsidR="003877FC">
        <w:rPr>
          <w:rFonts w:ascii="Calibri" w:hAnsi="Calibri" w:cs="Calibri"/>
          <w:b/>
          <w:bCs/>
          <w:i/>
        </w:rPr>
        <w:t>O</w:t>
      </w:r>
      <w:r w:rsidRPr="003877FC" w:rsidR="003877FC">
        <w:rPr>
          <w:rFonts w:ascii="Calibri" w:hAnsi="Calibri" w:cs="Calibri"/>
          <w:b/>
          <w:bCs/>
          <w:i/>
        </w:rPr>
        <w:t xml:space="preserve">ne </w:t>
      </w:r>
      <w:r w:rsidR="003877FC">
        <w:rPr>
          <w:rFonts w:ascii="Calibri" w:hAnsi="Calibri" w:cs="Calibri"/>
          <w:b/>
          <w:bCs/>
          <w:i/>
        </w:rPr>
        <w:t>D</w:t>
      </w:r>
      <w:r w:rsidRPr="003877FC" w:rsidR="003877FC">
        <w:rPr>
          <w:rFonts w:ascii="Calibri" w:hAnsi="Calibri" w:cs="Calibri"/>
          <w:b/>
          <w:bCs/>
          <w:i/>
        </w:rPr>
        <w:t>rive di M</w:t>
      </w:r>
      <w:r w:rsidRPr="003877FC">
        <w:rPr>
          <w:rFonts w:ascii="Calibri" w:hAnsi="Calibri" w:cs="Calibri"/>
          <w:b/>
          <w:bCs/>
          <w:i/>
        </w:rPr>
        <w:t>icrosoft</w:t>
      </w:r>
      <w:r w:rsidRPr="35CD470B">
        <w:rPr>
          <w:rFonts w:ascii="Calibri" w:hAnsi="Calibri" w:cs="Calibri"/>
        </w:rPr>
        <w:t xml:space="preserve">". Nello specifico le cartelle sono configurate e denominate in analogia con l'attuale impianto della struttura organizzativa AdG, a cui si aggiunge una cartella "share" per la scambio/caricamento di documenti tra l'AdG e i soggetti esterni, abbinate alle mail/PEC (cfr. </w:t>
      </w:r>
      <w:r w:rsidRPr="35CD470B">
        <w:rPr>
          <w:rFonts w:ascii="Calibri" w:hAnsi="Calibri" w:eastAsia="Calibri" w:cs="Calibri"/>
        </w:rPr>
        <w:t xml:space="preserve">Allegato </w:t>
      </w:r>
      <w:proofErr w:type="spellStart"/>
      <w:r w:rsidRPr="35CD470B">
        <w:rPr>
          <w:rFonts w:ascii="Calibri" w:hAnsi="Calibri" w:eastAsia="Calibri" w:cs="Calibri"/>
        </w:rPr>
        <w:t>B_Manuale</w:t>
      </w:r>
      <w:proofErr w:type="spellEnd"/>
      <w:r w:rsidRPr="35CD470B">
        <w:rPr>
          <w:rFonts w:ascii="Calibri" w:hAnsi="Calibri" w:eastAsia="Calibri" w:cs="Calibri"/>
        </w:rPr>
        <w:t xml:space="preserve"> procedure AdG_v1.1)</w:t>
      </w:r>
      <w:r w:rsidRPr="35CD470B">
        <w:rPr>
          <w:rFonts w:ascii="Calibri" w:hAnsi="Calibri" w:cs="Calibri"/>
        </w:rPr>
        <w:t xml:space="preserve">. Tale impianto </w:t>
      </w:r>
      <w:r w:rsidRPr="35CD470B">
        <w:rPr>
          <w:rFonts w:ascii="Calibri" w:hAnsi="Calibri" w:eastAsia="Garamond" w:cs="Calibri"/>
        </w:rPr>
        <w:t xml:space="preserve">conterrà tutte le registrazioni contabili connesse ai pagamenti e permetterà di censire il ciclo di vita del progetto, le piste di controllo e le check list. Tale sistema rimarrà in funzione fino alla completa messa in opera di </w:t>
      </w:r>
      <w:proofErr w:type="spellStart"/>
      <w:r w:rsidRPr="35CD470B">
        <w:rPr>
          <w:rFonts w:ascii="Calibri" w:hAnsi="Calibri" w:eastAsia="Garamond" w:cs="Calibri"/>
        </w:rPr>
        <w:t>ReGiS</w:t>
      </w:r>
      <w:proofErr w:type="spellEnd"/>
      <w:r w:rsidRPr="35CD470B">
        <w:rPr>
          <w:rFonts w:ascii="Calibri" w:hAnsi="Calibri" w:eastAsia="Garamond" w:cs="Calibri"/>
        </w:rPr>
        <w:t xml:space="preserve">. </w:t>
      </w:r>
    </w:p>
    <w:p w:rsidR="00D76B88" w:rsidRDefault="00D76B88" w14:paraId="5FF8C5DD" w14:textId="27A3A3B0">
      <w:pPr>
        <w:spacing w:after="160" w:line="259" w:lineRule="auto"/>
        <w:rPr>
          <w:rFonts w:ascii="Calibri" w:hAnsi="Calibri" w:cs="Calibri"/>
        </w:rPr>
      </w:pPr>
      <w:r>
        <w:rPr>
          <w:rFonts w:ascii="Calibri" w:hAnsi="Calibri" w:cs="Calibri"/>
        </w:rPr>
        <w:br w:type="page"/>
      </w:r>
    </w:p>
    <w:p w:rsidRPr="002A24EF" w:rsidR="00D76B88" w:rsidP="009C5076" w:rsidRDefault="52C5CEAB" w14:paraId="390CF242" w14:textId="22B80FA4">
      <w:pPr>
        <w:pStyle w:val="Heading1"/>
        <w:numPr>
          <w:ilvl w:val="0"/>
          <w:numId w:val="26"/>
        </w:numPr>
        <w:rPr>
          <w:rFonts w:ascii="Calibri" w:hAnsi="Calibri" w:cs="Calibri"/>
          <w:b/>
          <w:bCs/>
          <w:color w:val="0070C0"/>
          <w:sz w:val="32"/>
          <w:szCs w:val="32"/>
        </w:rPr>
      </w:pPr>
      <w:bookmarkStart w:name="_Toc190354105" w:id="16"/>
      <w:r w:rsidRPr="52C5CEAB">
        <w:rPr>
          <w:rFonts w:ascii="Calibri" w:hAnsi="Calibri" w:cs="Calibri"/>
          <w:b/>
          <w:bCs/>
          <w:color w:val="0070C0"/>
          <w:sz w:val="32"/>
          <w:szCs w:val="32"/>
        </w:rPr>
        <w:t>Organizzazione delle verifiche di gestione</w:t>
      </w:r>
      <w:bookmarkEnd w:id="16"/>
    </w:p>
    <w:p w:rsidR="000851A2" w:rsidP="52C5CEAB" w:rsidRDefault="35CD470B" w14:paraId="5CB63101" w14:textId="2F5E4CC3">
      <w:pPr>
        <w:pStyle w:val="NormalWeb"/>
        <w:spacing w:before="120" w:beforeAutospacing="0" w:after="120" w:afterAutospacing="0" w:line="276" w:lineRule="auto"/>
        <w:jc w:val="both"/>
        <w:rPr>
          <w:rFonts w:ascii="Calibri" w:hAnsi="Calibri" w:cs="Calibri"/>
        </w:rPr>
      </w:pPr>
      <w:r w:rsidRPr="35CD470B">
        <w:rPr>
          <w:rFonts w:ascii="Calibri" w:hAnsi="Calibri" w:cs="Calibri"/>
        </w:rPr>
        <w:t>L'Unità Operativa 4 (U.O.4) Controlli svolge un ruolo centrale nell’ambito del sistema di gestione e controllo, garantendo la conformità delle operazioni finanziate attraverso verifiche amministrative e in loco. L’ufficio si occupa della definizione e implementazione degli strumenti operativi per l’esecuzione delle verifiche di gestione (piste di controllo, check list di autovalutazione), svolge attività di raccordo con le strutture di audit e, inoltre, contribuisce alla rendicontazione e alla validazione delle spese in relazione al sistema di monitoraggio.</w:t>
      </w:r>
    </w:p>
    <w:p w:rsidR="35CD470B" w:rsidP="35CD470B" w:rsidRDefault="35CD470B" w14:paraId="65BC847F" w14:textId="4D5AFCA9">
      <w:pPr>
        <w:pStyle w:val="NormalWeb"/>
        <w:spacing w:before="120" w:beforeAutospacing="0" w:after="0" w:afterAutospacing="0" w:line="276" w:lineRule="auto"/>
        <w:jc w:val="both"/>
        <w:rPr>
          <w:rFonts w:ascii="Calibri" w:hAnsi="Calibri" w:cs="Calibri"/>
        </w:rPr>
      </w:pPr>
    </w:p>
    <w:p w:rsidR="002020D3" w:rsidP="07B36634" w:rsidRDefault="007423D2" w14:paraId="166DFACC" w14:textId="273E1AC4">
      <w:pPr>
        <w:pStyle w:val="NormalWeb"/>
        <w:spacing w:before="120" w:beforeAutospacing="0" w:after="0" w:afterAutospacing="0" w:line="276" w:lineRule="auto"/>
        <w:jc w:val="both"/>
        <w:rPr>
          <w:rFonts w:ascii="Calibri" w:hAnsi="Calibri" w:cs="Calibri"/>
        </w:rPr>
      </w:pPr>
      <w:r>
        <w:rPr>
          <w:noProof/>
        </w:rPr>
        <mc:AlternateContent>
          <mc:Choice Requires="wps">
            <w:drawing>
              <wp:anchor distT="0" distB="0" distL="114300" distR="114300" simplePos="0" relativeHeight="251658243" behindDoc="0" locked="0" layoutInCell="1" allowOverlap="1" wp14:anchorId="14959611" wp14:editId="14A79F6A">
                <wp:simplePos x="0" y="0"/>
                <wp:positionH relativeFrom="column">
                  <wp:posOffset>758825</wp:posOffset>
                </wp:positionH>
                <wp:positionV relativeFrom="paragraph">
                  <wp:posOffset>4037965</wp:posOffset>
                </wp:positionV>
                <wp:extent cx="4707255" cy="635"/>
                <wp:effectExtent l="0" t="0" r="0" b="0"/>
                <wp:wrapTopAndBottom/>
                <wp:docPr id="1" name="Casella di testo 1"/>
                <wp:cNvGraphicFramePr/>
                <a:graphic xmlns:a="http://schemas.openxmlformats.org/drawingml/2006/main">
                  <a:graphicData uri="http://schemas.microsoft.com/office/word/2010/wordprocessingShape">
                    <wps:wsp>
                      <wps:cNvSpPr txBox="1"/>
                      <wps:spPr>
                        <a:xfrm>
                          <a:off x="0" y="0"/>
                          <a:ext cx="4707255" cy="635"/>
                        </a:xfrm>
                        <a:prstGeom prst="rect">
                          <a:avLst/>
                        </a:prstGeom>
                        <a:solidFill>
                          <a:prstClr val="white"/>
                        </a:solidFill>
                        <a:ln>
                          <a:noFill/>
                        </a:ln>
                      </wps:spPr>
                      <wps:txbx>
                        <w:txbxContent>
                          <w:p w:rsidRPr="007423D2" w:rsidR="007423D2" w:rsidP="007423D2" w:rsidRDefault="007423D2" w14:paraId="6DDAA091" w14:textId="12314501">
                            <w:pPr>
                              <w:pStyle w:val="Caption"/>
                              <w:rPr>
                                <w:rFonts w:cs="Calibri" w:asciiTheme="majorHAnsi" w:hAnsiTheme="majorHAnsi"/>
                                <w:b/>
                                <w:i w:val="0"/>
                                <w:noProof/>
                                <w:sz w:val="20"/>
                                <w:szCs w:val="20"/>
                              </w:rPr>
                            </w:pPr>
                            <w:r w:rsidRPr="007423D2">
                              <w:rPr>
                                <w:rFonts w:asciiTheme="majorHAnsi" w:hAnsiTheme="majorHAnsi"/>
                                <w:b/>
                                <w:i w:val="0"/>
                                <w:sz w:val="20"/>
                                <w:szCs w:val="20"/>
                              </w:rPr>
                              <w:t xml:space="preserve">Figura </w:t>
                            </w:r>
                            <w:r w:rsidRPr="007423D2">
                              <w:rPr>
                                <w:rFonts w:asciiTheme="majorHAnsi" w:hAnsiTheme="majorHAnsi"/>
                                <w:b/>
                                <w:i w:val="0"/>
                                <w:sz w:val="20"/>
                                <w:szCs w:val="20"/>
                              </w:rPr>
                              <w:fldChar w:fldCharType="begin"/>
                            </w:r>
                            <w:r w:rsidRPr="007423D2">
                              <w:rPr>
                                <w:rFonts w:asciiTheme="majorHAnsi" w:hAnsiTheme="majorHAnsi"/>
                                <w:b/>
                                <w:i w:val="0"/>
                                <w:sz w:val="20"/>
                                <w:szCs w:val="20"/>
                              </w:rPr>
                              <w:instrText xml:space="preserve"> SEQ Figura \* ARABIC </w:instrText>
                            </w:r>
                            <w:r w:rsidRPr="007423D2">
                              <w:rPr>
                                <w:rFonts w:asciiTheme="majorHAnsi" w:hAnsiTheme="majorHAnsi"/>
                                <w:b/>
                                <w:i w:val="0"/>
                                <w:sz w:val="20"/>
                                <w:szCs w:val="20"/>
                              </w:rPr>
                              <w:fldChar w:fldCharType="separate"/>
                            </w:r>
                            <w:r w:rsidR="002B6B01">
                              <w:rPr>
                                <w:rFonts w:asciiTheme="majorHAnsi" w:hAnsiTheme="majorHAnsi"/>
                                <w:b/>
                                <w:i w:val="0"/>
                                <w:noProof/>
                                <w:sz w:val="20"/>
                                <w:szCs w:val="20"/>
                              </w:rPr>
                              <w:t>1</w:t>
                            </w:r>
                            <w:r w:rsidRPr="007423D2">
                              <w:rPr>
                                <w:rFonts w:asciiTheme="majorHAnsi" w:hAnsiTheme="majorHAnsi"/>
                                <w:b/>
                                <w:i w:val="0"/>
                                <w:sz w:val="20"/>
                                <w:szCs w:val="20"/>
                              </w:rPr>
                              <w:fldChar w:fldCharType="end"/>
                            </w:r>
                            <w:r w:rsidRPr="007423D2">
                              <w:rPr>
                                <w:rFonts w:asciiTheme="majorHAnsi" w:hAnsiTheme="majorHAnsi"/>
                                <w:b/>
                                <w:i w:val="0"/>
                                <w:sz w:val="20"/>
                                <w:szCs w:val="20"/>
                              </w:rPr>
                              <w:t xml:space="preserve"> - </w:t>
                            </w:r>
                            <w:r w:rsidRPr="007423D2">
                              <w:rPr>
                                <w:rFonts w:asciiTheme="majorHAnsi" w:hAnsiTheme="majorHAnsi"/>
                                <w:b/>
                                <w:i w:val="0"/>
                                <w:color w:val="153D63" w:themeColor="text2" w:themeTint="E6"/>
                                <w:sz w:val="20"/>
                                <w:szCs w:val="20"/>
                              </w:rPr>
                              <w:t xml:space="preserve">Struttura </w:t>
                            </w:r>
                            <w:r w:rsidRPr="007423D2">
                              <w:rPr>
                                <w:rFonts w:asciiTheme="majorHAnsi" w:hAnsiTheme="majorHAnsi"/>
                                <w:b/>
                                <w:i w:val="0"/>
                                <w:sz w:val="20"/>
                                <w:szCs w:val="20"/>
                              </w:rPr>
                              <w:t>U.O 4 Controlli</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w14:anchorId="14959611">
                <v:stroke joinstyle="miter"/>
                <v:path gradientshapeok="t" o:connecttype="rect"/>
              </v:shapetype>
              <v:shape id="Casella di testo 1" style="position:absolute;left:0;text-align:left;margin-left:59.75pt;margin-top:317.95pt;width:370.65pt;height:.05pt;z-index:251658243;visibility:visible;mso-wrap-style:square;mso-wrap-distance-left:9pt;mso-wrap-distance-top:0;mso-wrap-distance-right:9pt;mso-wrap-distance-bottom:0;mso-position-horizontal:absolute;mso-position-horizontal-relative:text;mso-position-vertical:absolute;mso-position-vertical-relative:text;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">
                <v:textbox style="mso-fit-shape-to-text:t" inset="0,0,0,0">
                  <w:txbxContent>
                    <w:p w:rsidRPr="007423D2" w:rsidR="007423D2" w:rsidP="007423D2" w:rsidRDefault="007423D2" w14:paraId="6DDAA091" w14:textId="12314501">
                      <w:pPr>
                        <w:pStyle w:val="Caption"/>
                        <w:rPr>
                          <w:rFonts w:cs="Calibri" w:asciiTheme="majorHAnsi" w:hAnsiTheme="majorHAnsi"/>
                          <w:b/>
                          <w:i w:val="0"/>
                          <w:noProof/>
                          <w:sz w:val="20"/>
                          <w:szCs w:val="20"/>
                        </w:rPr>
                      </w:pPr>
                      <w:r w:rsidRPr="007423D2">
                        <w:rPr>
                          <w:rFonts w:asciiTheme="majorHAnsi" w:hAnsiTheme="majorHAnsi"/>
                          <w:b/>
                          <w:i w:val="0"/>
                          <w:sz w:val="20"/>
                          <w:szCs w:val="20"/>
                        </w:rPr>
                        <w:t xml:space="preserve">Figura </w:t>
                      </w:r>
                      <w:r w:rsidRPr="007423D2">
                        <w:rPr>
                          <w:rFonts w:asciiTheme="majorHAnsi" w:hAnsiTheme="majorHAnsi"/>
                          <w:b/>
                          <w:i w:val="0"/>
                          <w:sz w:val="20"/>
                          <w:szCs w:val="20"/>
                        </w:rPr>
                        <w:fldChar w:fldCharType="begin"/>
                      </w:r>
                      <w:r w:rsidRPr="007423D2">
                        <w:rPr>
                          <w:rFonts w:asciiTheme="majorHAnsi" w:hAnsiTheme="majorHAnsi"/>
                          <w:b/>
                          <w:i w:val="0"/>
                          <w:sz w:val="20"/>
                          <w:szCs w:val="20"/>
                        </w:rPr>
                        <w:instrText xml:space="preserve"> SEQ Figura \* ARABIC </w:instrText>
                      </w:r>
                      <w:r w:rsidRPr="007423D2">
                        <w:rPr>
                          <w:rFonts w:asciiTheme="majorHAnsi" w:hAnsiTheme="majorHAnsi"/>
                          <w:b/>
                          <w:i w:val="0"/>
                          <w:sz w:val="20"/>
                          <w:szCs w:val="20"/>
                        </w:rPr>
                        <w:fldChar w:fldCharType="separate"/>
                      </w:r>
                      <w:r w:rsidR="002B6B01">
                        <w:rPr>
                          <w:rFonts w:asciiTheme="majorHAnsi" w:hAnsiTheme="majorHAnsi"/>
                          <w:b/>
                          <w:i w:val="0"/>
                          <w:noProof/>
                          <w:sz w:val="20"/>
                          <w:szCs w:val="20"/>
                        </w:rPr>
                        <w:t>1</w:t>
                      </w:r>
                      <w:r w:rsidRPr="007423D2">
                        <w:rPr>
                          <w:rFonts w:asciiTheme="majorHAnsi" w:hAnsiTheme="majorHAnsi"/>
                          <w:b/>
                          <w:i w:val="0"/>
                          <w:sz w:val="20"/>
                          <w:szCs w:val="20"/>
                        </w:rPr>
                        <w:fldChar w:fldCharType="end"/>
                      </w:r>
                      <w:r w:rsidRPr="007423D2">
                        <w:rPr>
                          <w:rFonts w:asciiTheme="majorHAnsi" w:hAnsiTheme="majorHAnsi"/>
                          <w:b/>
                          <w:i w:val="0"/>
                          <w:sz w:val="20"/>
                          <w:szCs w:val="20"/>
                        </w:rPr>
                        <w:t xml:space="preserve"> - </w:t>
                      </w:r>
                      <w:r w:rsidRPr="007423D2">
                        <w:rPr>
                          <w:rFonts w:asciiTheme="majorHAnsi" w:hAnsiTheme="majorHAnsi"/>
                          <w:b/>
                          <w:i w:val="0"/>
                          <w:color w:val="153D63" w:themeColor="text2" w:themeTint="E6"/>
                          <w:sz w:val="20"/>
                          <w:szCs w:val="20"/>
                        </w:rPr>
                        <w:t xml:space="preserve">Struttura </w:t>
                      </w:r>
                      <w:r w:rsidRPr="007423D2">
                        <w:rPr>
                          <w:rFonts w:asciiTheme="majorHAnsi" w:hAnsiTheme="majorHAnsi"/>
                          <w:b/>
                          <w:i w:val="0"/>
                          <w:sz w:val="20"/>
                          <w:szCs w:val="20"/>
                        </w:rPr>
                        <w:t>U.O 4 Controlli</w:t>
                      </w:r>
                    </w:p>
                  </w:txbxContent>
                </v:textbox>
                <w10:wrap type="topAndBottom"/>
              </v:shape>
            </w:pict>
          </mc:Fallback>
        </mc:AlternateContent>
      </w:r>
      <w:r w:rsidR="009D4F7B">
        <w:rPr>
          <w:rFonts w:ascii="Calibri" w:hAnsi="Calibri" w:cs="Calibri"/>
          <w:noProof/>
        </w:rPr>
        <w:drawing>
          <wp:anchor distT="0" distB="0" distL="114300" distR="114300" simplePos="0" relativeHeight="251658242" behindDoc="0" locked="0" layoutInCell="1" allowOverlap="1" wp14:anchorId="387DD195" wp14:editId="363C7DD8">
            <wp:simplePos x="0" y="0"/>
            <wp:positionH relativeFrom="column">
              <wp:posOffset>759090</wp:posOffset>
            </wp:positionH>
            <wp:positionV relativeFrom="paragraph">
              <wp:posOffset>1247775</wp:posOffset>
            </wp:positionV>
            <wp:extent cx="4707464" cy="2733602"/>
            <wp:effectExtent l="0" t="0" r="0" b="0"/>
            <wp:wrapTopAndBottom/>
            <wp:docPr id="79425464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07464" cy="2733602"/>
                    </a:xfrm>
                    <a:prstGeom prst="rect">
                      <a:avLst/>
                    </a:prstGeom>
                    <a:noFill/>
                  </pic:spPr>
                </pic:pic>
              </a:graphicData>
            </a:graphic>
          </wp:anchor>
        </w:drawing>
      </w:r>
      <w:r w:rsidRPr="002020D3" w:rsidR="3C3D6015">
        <w:rPr>
          <w:rFonts w:ascii="Calibri" w:hAnsi="Calibri" w:cs="Calibri"/>
        </w:rPr>
        <w:t>Nell’ambito delle verifiche di gestione, l’unità opera in affiancamento ai beneficiari/soggetti attuatori, fornendo assistenza per la corretta applicazione delle procedure di controllo. L’ufficio supporta, infine, l’Autorità di Gestione nella predisposizione dei riscontri necessari per le attività di audit a livello di operazioni e di sistema, assicurando il rispetto delle normative e dei requisiti di regolarità e ammissibilità delle spese.</w:t>
      </w:r>
    </w:p>
    <w:p w:rsidRPr="002020D3" w:rsidR="003D6C59" w:rsidP="52C5CEAB" w:rsidRDefault="35CD470B" w14:paraId="38A11141" w14:textId="0F05CCB1">
      <w:pPr>
        <w:pStyle w:val="NormalWeb"/>
        <w:spacing w:before="120" w:beforeAutospacing="0" w:after="0" w:afterAutospacing="0" w:line="276" w:lineRule="auto"/>
        <w:jc w:val="both"/>
        <w:rPr>
          <w:rFonts w:ascii="Calibri" w:hAnsi="Calibri" w:eastAsia="Calibri" w:cs="Calibri"/>
        </w:rPr>
      </w:pPr>
      <w:r w:rsidRPr="35CD470B">
        <w:rPr>
          <w:rFonts w:ascii="Calibri" w:hAnsi="Calibri" w:eastAsia="Calibri" w:cs="Calibri"/>
        </w:rPr>
        <w:t xml:space="preserve">Le </w:t>
      </w:r>
      <w:r w:rsidRPr="35CD470B">
        <w:rPr>
          <w:rFonts w:ascii="Calibri" w:hAnsi="Calibri" w:eastAsia="Calibri" w:cs="Calibri"/>
          <w:b/>
          <w:bCs/>
        </w:rPr>
        <w:t>verifiche di gestione delle operazioni per cui l’Autorità di Gestione è Beneficiario</w:t>
      </w:r>
      <w:r w:rsidRPr="35CD470B">
        <w:rPr>
          <w:rFonts w:ascii="Calibri" w:hAnsi="Calibri" w:eastAsia="Calibri" w:cs="Calibri"/>
        </w:rPr>
        <w:t xml:space="preserve"> sono effettuate, ai sensi dell’art. 74, comma 3 del Regolamento (UE) n. 1060/2021, dalla </w:t>
      </w:r>
      <w:r w:rsidRPr="35CD470B">
        <w:rPr>
          <w:rFonts w:ascii="Calibri" w:hAnsi="Calibri" w:eastAsia="Calibri" w:cs="Calibri"/>
          <w:b/>
          <w:bCs/>
        </w:rPr>
        <w:t xml:space="preserve">Direzione Generale Organizzazione – Servizio I del </w:t>
      </w:r>
      <w:proofErr w:type="spellStart"/>
      <w:r w:rsidRPr="35CD470B">
        <w:rPr>
          <w:rFonts w:ascii="Calibri" w:hAnsi="Calibri" w:eastAsia="Calibri" w:cs="Calibri"/>
          <w:b/>
          <w:bCs/>
        </w:rPr>
        <w:t>MiC</w:t>
      </w:r>
      <w:proofErr w:type="spellEnd"/>
      <w:r w:rsidRPr="35CD470B">
        <w:rPr>
          <w:rFonts w:ascii="Calibri" w:hAnsi="Calibri" w:eastAsia="Calibri" w:cs="Calibri"/>
        </w:rPr>
        <w:t>. Tale ufficio, infatti, è funzionalmente indipendente dall'Autorità di Gestione, assicurando così il rispetto del principio di adeguata separazione tra le funzioni di gestione e quelle di controllo, come stabilito dall'art. 74 del Regolamento.</w:t>
      </w:r>
    </w:p>
    <w:p w:rsidRPr="002020D3" w:rsidR="003D6C59" w:rsidP="35CD470B" w:rsidRDefault="35CD470B" w14:paraId="6C907AF4" w14:textId="7C9B23B8">
      <w:pPr>
        <w:spacing w:before="240" w:after="240" w:line="276" w:lineRule="auto"/>
        <w:jc w:val="both"/>
        <w:rPr>
          <w:rFonts w:ascii="Calibri" w:hAnsi="Calibri" w:eastAsia="Calibri" w:cs="Calibri"/>
        </w:rPr>
      </w:pPr>
      <w:r w:rsidRPr="35CD470B">
        <w:rPr>
          <w:rFonts w:ascii="Calibri" w:hAnsi="Calibri" w:eastAsia="Calibri" w:cs="Calibri"/>
        </w:rPr>
        <w:t xml:space="preserve">In questo contesto, il </w:t>
      </w:r>
      <w:r w:rsidRPr="35CD470B">
        <w:rPr>
          <w:rFonts w:ascii="Calibri" w:hAnsi="Calibri" w:eastAsia="Calibri" w:cs="Calibri"/>
          <w:b/>
          <w:bCs/>
        </w:rPr>
        <w:t>Piano Integrato di Attività e Organizzazione (PIAO)</w:t>
      </w:r>
      <w:r w:rsidRPr="35CD470B">
        <w:rPr>
          <w:rFonts w:ascii="Calibri" w:hAnsi="Calibri" w:eastAsia="Calibri" w:cs="Calibri"/>
        </w:rPr>
        <w:t xml:space="preserve"> </w:t>
      </w:r>
      <w:r w:rsidRPr="35CD470B">
        <w:rPr>
          <w:rFonts w:ascii="Calibri" w:hAnsi="Calibri" w:eastAsia="Calibri" w:cs="Calibri"/>
          <w:b/>
          <w:bCs/>
        </w:rPr>
        <w:t xml:space="preserve">2025-2027 </w:t>
      </w:r>
      <w:r w:rsidRPr="35CD470B">
        <w:rPr>
          <w:rFonts w:ascii="Calibri" w:hAnsi="Calibri" w:eastAsia="Calibri" w:cs="Calibri"/>
        </w:rPr>
        <w:t>adottato con Decreto del Ministro della Cultura n. 39 del 31/01/2025 visionabile al link (</w:t>
      </w:r>
      <w:hyperlink r:id="rId17">
        <w:r w:rsidRPr="35CD470B">
          <w:rPr>
            <w:rStyle w:val="Hyperlink"/>
            <w:rFonts w:ascii="Calibri" w:hAnsi="Calibri" w:eastAsia="Calibri" w:cs="Calibri"/>
            <w:color w:val="467886"/>
          </w:rPr>
          <w:t>https://piao.dfp.gov.it/node/26259)</w:t>
        </w:r>
      </w:hyperlink>
      <w:r w:rsidRPr="35CD470B">
        <w:rPr>
          <w:rFonts w:ascii="Calibri" w:hAnsi="Calibri" w:eastAsia="Calibri" w:cs="Calibri"/>
        </w:rPr>
        <w:t xml:space="preserve">, fornisce un quadro strategico e operativo per la pianificazione, la gestione e il controllo delle attività amministrative e finanziarie, integrando aspetti chiave come la performance, la gestione delle risorse umane e la prevenzione della corruzione. Il PIAO contribuisce a definire un metodo strutturato per il monitoraggio e la rendicontazione delle spese, garantendo maggiore trasparenza e coerenza nell’utilizzo dei fondi pubblici, in linea con le disposizioni del Regolamento (UE) 2021/1060 e del D.Lgs. 36/2023. La sinergia tra le diverse competenze e strumenti operativi previsti dal PIAO e dal sistema di gestione del PN Cultura 2021-2027 consente un controllo efficace sui fondi e sulle operazioni finanziate, riducendo il rischio di irregolarità e rafforzando la qualità della gestione (cfr. Allegato </w:t>
      </w:r>
      <w:proofErr w:type="spellStart"/>
      <w:r w:rsidRPr="35CD470B">
        <w:rPr>
          <w:rFonts w:ascii="Calibri" w:hAnsi="Calibri" w:eastAsia="Calibri" w:cs="Calibri"/>
        </w:rPr>
        <w:t>A_Descrizione</w:t>
      </w:r>
      <w:proofErr w:type="spellEnd"/>
      <w:r w:rsidRPr="35CD470B">
        <w:rPr>
          <w:rFonts w:ascii="Calibri" w:hAnsi="Calibri" w:eastAsia="Calibri" w:cs="Calibri"/>
        </w:rPr>
        <w:t xml:space="preserve"> Si.Ge.Co._v1.1).</w:t>
      </w:r>
    </w:p>
    <w:p w:rsidRPr="00A434CF" w:rsidR="002E0E9E" w:rsidP="009C5076" w:rsidRDefault="52C5CEAB" w14:paraId="1A36565F" w14:textId="747AF56D">
      <w:pPr>
        <w:pStyle w:val="Heading1"/>
        <w:numPr>
          <w:ilvl w:val="0"/>
          <w:numId w:val="26"/>
        </w:numPr>
        <w:rPr>
          <w:rFonts w:ascii="Calibri" w:hAnsi="Calibri" w:cs="Calibri"/>
          <w:b/>
          <w:bCs/>
          <w:color w:val="0070C0"/>
          <w:sz w:val="32"/>
          <w:szCs w:val="32"/>
        </w:rPr>
      </w:pPr>
      <w:bookmarkStart w:name="_Toc190354106" w:id="17"/>
      <w:r w:rsidRPr="52C5CEAB">
        <w:rPr>
          <w:rFonts w:ascii="Calibri" w:hAnsi="Calibri" w:cs="Calibri"/>
          <w:b/>
          <w:bCs/>
          <w:color w:val="0070C0"/>
          <w:sz w:val="32"/>
          <w:szCs w:val="32"/>
        </w:rPr>
        <w:t>Le verifiche di gestione</w:t>
      </w:r>
      <w:bookmarkEnd w:id="17"/>
    </w:p>
    <w:p w:rsidRPr="003166DD" w:rsidR="000E5B99" w:rsidP="52C5CEAB" w:rsidRDefault="35CD470B" w14:paraId="1BC35C9E" w14:textId="124844F6">
      <w:pPr>
        <w:spacing w:line="276" w:lineRule="auto"/>
        <w:ind w:right="2"/>
        <w:jc w:val="both"/>
        <w:rPr>
          <w:rFonts w:ascii="Calibri" w:hAnsi="Calibri" w:eastAsia="Calibri" w:cs="Calibri"/>
        </w:rPr>
      </w:pPr>
      <w:r w:rsidRPr="35CD470B">
        <w:rPr>
          <w:rFonts w:ascii="Calibri" w:hAnsi="Calibri" w:cs="Calibri"/>
        </w:rPr>
        <w:t xml:space="preserve">I Regolamenti comunitari (UE) 2021/1060, 2021/1057 e 2021/1058, pongono un forte accento sull'importanza dei controlli, stabilendo principi chiari per garantire efficienza e trasparenza nei processi di selezione e attuazione dei progetti, delineando anche linee guida </w:t>
      </w:r>
      <w:r w:rsidRPr="35CD470B">
        <w:rPr>
          <w:rFonts w:ascii="Calibri" w:hAnsi="Calibri" w:eastAsia="Calibri" w:cs="Calibri"/>
        </w:rPr>
        <w:t xml:space="preserve">precise sull’organizzazione dei controlli e sugli obblighi che devono essere adempiuti a ciascun livello di responsabilità. </w:t>
      </w:r>
    </w:p>
    <w:p w:rsidR="762D0C92" w:rsidP="35CD470B" w:rsidRDefault="35CD470B" w14:paraId="19DBBD6A" w14:textId="0B03D20D">
      <w:pPr>
        <w:spacing w:line="276" w:lineRule="auto"/>
        <w:ind w:right="2"/>
        <w:jc w:val="both"/>
        <w:rPr>
          <w:rFonts w:ascii="Calibri" w:hAnsi="Calibri" w:eastAsia="Calibri" w:cs="Calibri"/>
        </w:rPr>
      </w:pPr>
      <w:r w:rsidRPr="35CD470B">
        <w:rPr>
          <w:rFonts w:ascii="Calibri" w:hAnsi="Calibri" w:eastAsia="Calibri" w:cs="Calibri"/>
        </w:rPr>
        <w:t xml:space="preserve">L’Autorità di Gestione, a norma degli artt. 72 e 74 del </w:t>
      </w:r>
      <w:proofErr w:type="gramStart"/>
      <w:r w:rsidRPr="35CD470B">
        <w:rPr>
          <w:rFonts w:ascii="Calibri" w:hAnsi="Calibri" w:eastAsia="Calibri" w:cs="Calibri"/>
        </w:rPr>
        <w:t>Reg.(</w:t>
      </w:r>
      <w:proofErr w:type="gramEnd"/>
      <w:r w:rsidRPr="35CD470B">
        <w:rPr>
          <w:rFonts w:ascii="Calibri" w:hAnsi="Calibri" w:eastAsia="Calibri" w:cs="Calibri"/>
        </w:rPr>
        <w:t>UE) 2021/1060, ha la responsabilità della gestione e dell’attuazione dei programmi allo scopo di conseguirne gli obiettivi.</w:t>
      </w:r>
    </w:p>
    <w:p w:rsidR="762D0C92" w:rsidP="35CD470B" w:rsidRDefault="35CD470B" w14:paraId="7BF4AAAF" w14:textId="5648CC3D">
      <w:pPr>
        <w:spacing w:line="276" w:lineRule="auto"/>
        <w:ind w:right="2"/>
        <w:jc w:val="both"/>
        <w:rPr>
          <w:rFonts w:ascii="Calibri" w:hAnsi="Calibri" w:eastAsia="Calibri" w:cs="Calibri"/>
        </w:rPr>
      </w:pPr>
      <w:r w:rsidRPr="35CD470B">
        <w:rPr>
          <w:rFonts w:ascii="Calibri" w:hAnsi="Calibri" w:eastAsia="Calibri" w:cs="Calibri"/>
        </w:rPr>
        <w:t>Più in particolare, essa, in base al disposto regolamentare, con riferimento alla gestione del Programma, in conformità all’articolo 74, l’AdG:</w:t>
      </w:r>
    </w:p>
    <w:p w:rsidR="762D0C92" w:rsidP="009C5076" w:rsidRDefault="35CD470B" w14:paraId="1012E44E" w14:textId="6FF60BF1">
      <w:pPr>
        <w:pStyle w:val="ListParagraph"/>
        <w:numPr>
          <w:ilvl w:val="0"/>
          <w:numId w:val="6"/>
        </w:numPr>
        <w:spacing w:line="276" w:lineRule="auto"/>
        <w:ind w:right="2"/>
        <w:jc w:val="both"/>
        <w:rPr>
          <w:rFonts w:ascii="Calibri" w:hAnsi="Calibri" w:eastAsia="Calibri" w:cs="Calibri"/>
        </w:rPr>
      </w:pPr>
      <w:r w:rsidRPr="35CD470B">
        <w:rPr>
          <w:rFonts w:ascii="Calibri" w:hAnsi="Calibri" w:eastAsia="Calibri" w:cs="Calibri"/>
        </w:rPr>
        <w:t>esegue verifiche di gestione per accertarsi che i prodotti e i servizi cofinanziati siano stati forniti, che l’operazione sia conforme al diritto applicabile, al programma e alle condizioni per il sostegno dell’operazione, e verifica: o per i costi da rimborsare a norma dell’articolo 53, paragrafo 1, lettera a), che l’importo delle spese dichiarate dai beneficiari in relazione a tali costi sia stato erogato e che i beneficiari tengano una contabilità separata o utilizzino codici contabili appropriati per tutte le transazioni relative all’operazione; o per i costi da rimborsare a norma dell’articolo 53, paragrafo 1, lettere b), c) e d), che siano state rispettate le condizioni per il rimborso della spesa al beneficiario;</w:t>
      </w:r>
    </w:p>
    <w:p w:rsidR="762D0C92" w:rsidP="009C5076" w:rsidRDefault="35CD470B" w14:paraId="0288C19E" w14:textId="0DEBF35A">
      <w:pPr>
        <w:pStyle w:val="ListParagraph"/>
        <w:numPr>
          <w:ilvl w:val="0"/>
          <w:numId w:val="6"/>
        </w:numPr>
        <w:spacing w:line="276" w:lineRule="auto"/>
        <w:ind w:right="2"/>
        <w:jc w:val="both"/>
        <w:rPr>
          <w:rFonts w:ascii="Calibri" w:hAnsi="Calibri" w:eastAsia="Calibri" w:cs="Calibri"/>
        </w:rPr>
      </w:pPr>
      <w:r w:rsidRPr="35CD470B">
        <w:rPr>
          <w:rFonts w:ascii="Calibri" w:hAnsi="Calibri" w:eastAsia="Calibri" w:cs="Calibri"/>
        </w:rPr>
        <w:t xml:space="preserve">garantisce, subordinatamente alla disponibilità di finanziamento, che ciascun Beneficiario riceva l’importo dovuto integralmente entro 80 giorni dalla data della presentazione della domanda di pagamento da parte del Beneficiario; il termine può essere interrotto se le informazioni presentate dal beneficiario non consentono all’AdG di stabilire se l’importo è dovuto; </w:t>
      </w:r>
    </w:p>
    <w:p w:rsidR="762D0C92" w:rsidP="009C5076" w:rsidRDefault="35CD470B" w14:paraId="210BB78B" w14:textId="4E8615FF">
      <w:pPr>
        <w:pStyle w:val="ListParagraph"/>
        <w:numPr>
          <w:ilvl w:val="0"/>
          <w:numId w:val="6"/>
        </w:numPr>
        <w:spacing w:line="276" w:lineRule="auto"/>
        <w:ind w:right="2"/>
        <w:jc w:val="both"/>
        <w:rPr>
          <w:rFonts w:ascii="Calibri" w:hAnsi="Calibri" w:eastAsia="Calibri" w:cs="Calibri"/>
        </w:rPr>
      </w:pPr>
      <w:r w:rsidRPr="35CD470B">
        <w:rPr>
          <w:rFonts w:ascii="Calibri" w:hAnsi="Calibri" w:eastAsia="Calibri" w:cs="Calibri"/>
        </w:rPr>
        <w:t xml:space="preserve">pone in atto misure e procedure antifrode efficaci e proporzionate, tenendo conto dei rischi individuati; </w:t>
      </w:r>
    </w:p>
    <w:p w:rsidR="762D0C92" w:rsidP="009C5076" w:rsidRDefault="35CD470B" w14:paraId="71930FAF" w14:textId="48DB278A">
      <w:pPr>
        <w:pStyle w:val="ListParagraph"/>
        <w:numPr>
          <w:ilvl w:val="0"/>
          <w:numId w:val="6"/>
        </w:numPr>
        <w:spacing w:line="276" w:lineRule="auto"/>
        <w:ind w:right="2"/>
        <w:jc w:val="both"/>
        <w:rPr>
          <w:rFonts w:ascii="Calibri" w:hAnsi="Calibri" w:eastAsia="Calibri" w:cs="Calibri"/>
        </w:rPr>
      </w:pPr>
      <w:r w:rsidRPr="35CD470B">
        <w:rPr>
          <w:rFonts w:ascii="Calibri" w:hAnsi="Calibri" w:eastAsia="Calibri" w:cs="Calibri"/>
        </w:rPr>
        <w:t xml:space="preserve">previene, individua e rettifica le irregolarità; </w:t>
      </w:r>
    </w:p>
    <w:p w:rsidR="762D0C92" w:rsidP="009C5076" w:rsidRDefault="35CD470B" w14:paraId="047B29C5" w14:textId="451BB0D0">
      <w:pPr>
        <w:pStyle w:val="ListParagraph"/>
        <w:numPr>
          <w:ilvl w:val="0"/>
          <w:numId w:val="6"/>
        </w:numPr>
        <w:spacing w:line="276" w:lineRule="auto"/>
        <w:ind w:right="2"/>
        <w:jc w:val="both"/>
        <w:rPr>
          <w:rFonts w:ascii="Calibri" w:hAnsi="Calibri" w:eastAsia="Calibri" w:cs="Calibri"/>
        </w:rPr>
      </w:pPr>
      <w:r w:rsidRPr="35CD470B">
        <w:rPr>
          <w:rFonts w:ascii="Calibri" w:hAnsi="Calibri" w:eastAsia="Calibri" w:cs="Calibri"/>
        </w:rPr>
        <w:t>conferma che le spese registrate nei conti sono legittime e regolari;</w:t>
      </w:r>
    </w:p>
    <w:p w:rsidR="762D0C92" w:rsidP="009C5076" w:rsidRDefault="35CD470B" w14:paraId="56D6A3F1" w14:textId="35BE415C">
      <w:pPr>
        <w:pStyle w:val="ListParagraph"/>
        <w:numPr>
          <w:ilvl w:val="0"/>
          <w:numId w:val="6"/>
        </w:numPr>
        <w:spacing w:line="276" w:lineRule="auto"/>
        <w:ind w:right="2"/>
        <w:jc w:val="both"/>
        <w:rPr>
          <w:rFonts w:ascii="Calibri" w:hAnsi="Calibri" w:eastAsia="Calibri" w:cs="Calibri"/>
        </w:rPr>
      </w:pPr>
      <w:r w:rsidRPr="35CD470B">
        <w:rPr>
          <w:rFonts w:ascii="Calibri" w:hAnsi="Calibri" w:eastAsia="Calibri" w:cs="Calibri"/>
        </w:rPr>
        <w:t>redige la dichiarazione di gestione in conformità al modello riportato nell’Allegato XVIII del Reg. (UE) 2021/1060.</w:t>
      </w:r>
    </w:p>
    <w:p w:rsidR="3175BA12" w:rsidP="52C5CEAB" w:rsidRDefault="3175BA12" w14:paraId="5AA9524C" w14:textId="0EC36CBF">
      <w:pPr>
        <w:spacing w:line="276" w:lineRule="auto"/>
        <w:ind w:right="2"/>
        <w:jc w:val="both"/>
        <w:rPr>
          <w:rFonts w:ascii="Calibri" w:hAnsi="Calibri" w:eastAsia="Calibri" w:cs="Calibri"/>
        </w:rPr>
      </w:pPr>
    </w:p>
    <w:p w:rsidRPr="003166DD" w:rsidR="000E5B99" w:rsidP="52C5CEAB" w:rsidRDefault="35CD470B" w14:paraId="0C4478E6" w14:textId="451178EA">
      <w:pPr>
        <w:spacing w:line="276" w:lineRule="auto"/>
        <w:ind w:right="2"/>
        <w:jc w:val="both"/>
        <w:rPr>
          <w:rFonts w:ascii="Calibri" w:hAnsi="Calibri" w:eastAsia="Calibri" w:cs="Calibri"/>
        </w:rPr>
      </w:pPr>
      <w:r w:rsidRPr="35CD470B">
        <w:rPr>
          <w:rFonts w:ascii="Calibri" w:hAnsi="Calibri" w:eastAsia="Calibri" w:cs="Calibri"/>
        </w:rPr>
        <w:t>L’AdG ha inoltre la responsabilità di verificare che quanto cofinanziato sia stato effettivamente fornito e che le spese dichiarate dai Beneficiari siano reali, documentate e conformi alle normative comunitarie e nazionali. Inoltre, si dovrà accertare che non sia avvenuto un doppio finanziamento per la stessa spesa tramite altri programmi nazionali o comunitari.</w:t>
      </w:r>
    </w:p>
    <w:p w:rsidRPr="003166DD" w:rsidR="00D31FD5" w:rsidP="52C5CEAB" w:rsidRDefault="35CD470B" w14:paraId="30387506" w14:textId="346C3E8C">
      <w:pPr>
        <w:spacing w:line="276" w:lineRule="auto"/>
        <w:ind w:right="2"/>
        <w:jc w:val="both"/>
        <w:rPr>
          <w:rFonts w:ascii="Calibri" w:hAnsi="Calibri" w:eastAsia="Calibri" w:cs="Calibri"/>
        </w:rPr>
      </w:pPr>
      <w:r w:rsidRPr="35CD470B">
        <w:rPr>
          <w:rFonts w:ascii="Calibri" w:hAnsi="Calibri" w:eastAsia="Calibri" w:cs="Calibri"/>
        </w:rPr>
        <w:t xml:space="preserve">L’Autorità di Gestione deve anche definire le norme e le procedure relative alle verifiche da effettuare e mantenere una documentazione dettagliata di ogni controllo, indicando le attività svolte, le date, i risultati dei controlli e le azioni intraprese in caso di irregolarità. Infine, deve essere istituito un sistema di registrazione e conservazione informatizzata dei dati relativi a ciascuna operazione, per garantire sia la verifica della selezione che una gestione corretta e trasparente delle stesse. </w:t>
      </w:r>
    </w:p>
    <w:p w:rsidRPr="003166DD" w:rsidR="00D31FD5" w:rsidP="52C5CEAB" w:rsidRDefault="35CD470B" w14:paraId="1CB4A643" w14:textId="74941BE5">
      <w:pPr>
        <w:spacing w:line="276" w:lineRule="auto"/>
        <w:ind w:right="2"/>
        <w:jc w:val="both"/>
        <w:rPr>
          <w:rFonts w:ascii="Calibri" w:hAnsi="Calibri" w:eastAsia="Calibri" w:cs="Calibri"/>
        </w:rPr>
      </w:pPr>
      <w:r w:rsidRPr="35CD470B">
        <w:rPr>
          <w:rFonts w:ascii="Calibri" w:hAnsi="Calibri" w:eastAsia="Calibri" w:cs="Calibri"/>
        </w:rPr>
        <w:t xml:space="preserve">Per il ciclo di Programmazione 2021-2027 il PN Cultura 21-27 ha aderito al sistema informativo </w:t>
      </w:r>
      <w:proofErr w:type="spellStart"/>
      <w:r w:rsidRPr="35CD470B">
        <w:rPr>
          <w:rFonts w:ascii="Calibri" w:hAnsi="Calibri" w:eastAsia="Calibri" w:cs="Calibri"/>
        </w:rPr>
        <w:t>ReGIS</w:t>
      </w:r>
      <w:proofErr w:type="spellEnd"/>
      <w:r w:rsidRPr="35CD470B">
        <w:rPr>
          <w:rFonts w:ascii="Calibri" w:hAnsi="Calibri" w:eastAsia="Calibri" w:cs="Calibri"/>
        </w:rPr>
        <w:t>, non solo per il sistema di monitoraggio ma anche per la parte gestionale.</w:t>
      </w:r>
    </w:p>
    <w:p w:rsidRPr="003166DD" w:rsidR="00C232B7" w:rsidP="52C5CEAB" w:rsidRDefault="35CD470B" w14:paraId="20071E6B" w14:textId="612D4843">
      <w:pPr>
        <w:spacing w:line="276" w:lineRule="auto"/>
        <w:jc w:val="both"/>
        <w:rPr>
          <w:rFonts w:ascii="Calibri" w:hAnsi="Calibri" w:eastAsia="Calibri" w:cs="Calibri"/>
        </w:rPr>
      </w:pPr>
      <w:r w:rsidRPr="35CD470B">
        <w:rPr>
          <w:rFonts w:ascii="Calibri" w:hAnsi="Calibri" w:eastAsia="Calibri" w:cs="Calibri"/>
        </w:rPr>
        <w:t xml:space="preserve">Il sistema informativo </w:t>
      </w:r>
      <w:proofErr w:type="spellStart"/>
      <w:r w:rsidRPr="35CD470B">
        <w:rPr>
          <w:rFonts w:ascii="Calibri" w:hAnsi="Calibri" w:eastAsia="Calibri" w:cs="Calibri"/>
        </w:rPr>
        <w:t>ReGIS</w:t>
      </w:r>
      <w:proofErr w:type="spellEnd"/>
      <w:r w:rsidRPr="35CD470B">
        <w:rPr>
          <w:rFonts w:ascii="Calibri" w:hAnsi="Calibri" w:eastAsia="Calibri" w:cs="Calibri"/>
        </w:rPr>
        <w:t xml:space="preserve"> consente di raccogliere, attraverso l’inserimento di documenti e dati da parte dei Beneficiari e dell’AdG, tutte le informazioni inerenti ai progetti cofinanziati, includendo:</w:t>
      </w:r>
    </w:p>
    <w:p w:rsidRPr="0044241B" w:rsidR="00C232B7" w:rsidP="009C5076" w:rsidRDefault="00C232B7" w14:paraId="4C26AABD" w14:textId="77777777">
      <w:pPr>
        <w:pStyle w:val="ListParagraph"/>
        <w:numPr>
          <w:ilvl w:val="0"/>
          <w:numId w:val="32"/>
        </w:numPr>
        <w:spacing w:line="276" w:lineRule="auto"/>
        <w:ind w:left="364"/>
        <w:jc w:val="both"/>
        <w:rPr>
          <w:rFonts w:ascii="Calibri" w:hAnsi="Calibri" w:cs="Calibri"/>
        </w:rPr>
      </w:pPr>
      <w:r w:rsidRPr="0044241B">
        <w:rPr>
          <w:rFonts w:ascii="Calibri" w:hAnsi="Calibri" w:cs="Calibri"/>
        </w:rPr>
        <w:t>Dati fisici e procedurali rilevanti per il monitoraggio delle operazioni;</w:t>
      </w:r>
    </w:p>
    <w:p w:rsidRPr="003166DD" w:rsidR="00C232B7" w:rsidP="009C5076" w:rsidRDefault="00C232B7" w14:paraId="0270F386" w14:textId="1F1E8452">
      <w:pPr>
        <w:pStyle w:val="ListParagraph"/>
        <w:numPr>
          <w:ilvl w:val="0"/>
          <w:numId w:val="32"/>
        </w:numPr>
        <w:spacing w:line="276" w:lineRule="auto"/>
        <w:ind w:left="284" w:hanging="284"/>
        <w:jc w:val="both"/>
        <w:rPr>
          <w:rFonts w:ascii="Calibri" w:hAnsi="Calibri" w:cs="Calibri"/>
        </w:rPr>
      </w:pPr>
      <w:r w:rsidRPr="0044241B">
        <w:rPr>
          <w:rFonts w:ascii="Calibri" w:hAnsi="Calibri" w:cs="Calibri"/>
        </w:rPr>
        <w:t>Informazioni finanziarie, verifiche effettuate a tutti i livelli e documentazione relativa a eventuali irr</w:t>
      </w:r>
      <w:r w:rsidRPr="003166DD">
        <w:rPr>
          <w:rFonts w:ascii="Calibri" w:hAnsi="Calibri" w:cs="Calibri"/>
        </w:rPr>
        <w:t>egolarità.</w:t>
      </w:r>
    </w:p>
    <w:p w:rsidRPr="005D32F3" w:rsidR="00DA777E" w:rsidP="009C5076" w:rsidRDefault="52C5CEAB" w14:paraId="49527FDA" w14:textId="3B3641B5">
      <w:pPr>
        <w:pStyle w:val="Heading2"/>
        <w:numPr>
          <w:ilvl w:val="1"/>
          <w:numId w:val="45"/>
        </w:numPr>
        <w:rPr>
          <w:rFonts w:ascii="Calibri" w:hAnsi="Calibri" w:cs="Calibri"/>
          <w:b/>
          <w:bCs/>
          <w:color w:val="215E99" w:themeColor="text2" w:themeTint="BF"/>
          <w:sz w:val="28"/>
          <w:szCs w:val="28"/>
        </w:rPr>
      </w:pPr>
      <w:bookmarkStart w:name="_Toc189126659" w:id="18"/>
      <w:bookmarkStart w:name="_Toc189126699" w:id="19"/>
      <w:bookmarkStart w:name="_Toc189126660" w:id="20"/>
      <w:bookmarkStart w:name="_Toc189126700" w:id="21"/>
      <w:bookmarkStart w:name="_Toc189126661" w:id="22"/>
      <w:bookmarkStart w:name="_Toc189126701" w:id="23"/>
      <w:bookmarkEnd w:id="18"/>
      <w:bookmarkEnd w:id="19"/>
      <w:bookmarkEnd w:id="20"/>
      <w:bookmarkEnd w:id="21"/>
      <w:bookmarkEnd w:id="22"/>
      <w:bookmarkEnd w:id="23"/>
      <w:r w:rsidRPr="52C5CEAB">
        <w:rPr>
          <w:rFonts w:ascii="Calibri" w:hAnsi="Calibri" w:cs="Calibri"/>
          <w:b/>
          <w:bCs/>
          <w:color w:val="215E99" w:themeColor="text2" w:themeTint="BF"/>
          <w:sz w:val="28"/>
          <w:szCs w:val="28"/>
        </w:rPr>
        <w:t xml:space="preserve"> </w:t>
      </w:r>
      <w:r w:rsidR="00C3316E">
        <w:rPr>
          <w:rFonts w:ascii="Calibri" w:hAnsi="Calibri" w:cs="Calibri"/>
          <w:b/>
          <w:bCs/>
          <w:color w:val="215E99" w:themeColor="text2" w:themeTint="BF"/>
          <w:sz w:val="28"/>
          <w:szCs w:val="28"/>
        </w:rPr>
        <w:t xml:space="preserve"> </w:t>
      </w:r>
      <w:r w:rsidRPr="52C5CEAB">
        <w:rPr>
          <w:rFonts w:ascii="Calibri" w:hAnsi="Calibri" w:cs="Calibri"/>
          <w:b/>
          <w:bCs/>
          <w:color w:val="215E99" w:themeColor="text2" w:themeTint="BF"/>
          <w:sz w:val="28"/>
          <w:szCs w:val="28"/>
        </w:rPr>
        <w:t xml:space="preserve"> </w:t>
      </w:r>
      <w:bookmarkStart w:name="_Toc190354107" w:id="24"/>
      <w:r w:rsidRPr="52C5CEAB">
        <w:rPr>
          <w:rFonts w:ascii="Calibri" w:hAnsi="Calibri" w:cs="Calibri"/>
          <w:b/>
          <w:bCs/>
          <w:color w:val="215E99" w:themeColor="text2" w:themeTint="BF"/>
          <w:sz w:val="28"/>
          <w:szCs w:val="28"/>
        </w:rPr>
        <w:t>Le varie tipologie di controllo</w:t>
      </w:r>
      <w:bookmarkEnd w:id="24"/>
    </w:p>
    <w:p w:rsidRPr="003166DD" w:rsidR="00857EBF" w:rsidP="009211BA" w:rsidRDefault="4B9C4F96" w14:paraId="62C7B656" w14:textId="3139B3DD">
      <w:pPr>
        <w:spacing w:line="276" w:lineRule="auto"/>
        <w:ind w:right="2"/>
        <w:jc w:val="both"/>
        <w:rPr>
          <w:rFonts w:ascii="Calibri" w:hAnsi="Calibri" w:cs="Calibri"/>
        </w:rPr>
      </w:pPr>
      <w:r w:rsidRPr="07B36634">
        <w:rPr>
          <w:rFonts w:ascii="Calibri" w:hAnsi="Calibri" w:cs="Calibri"/>
        </w:rPr>
        <w:t xml:space="preserve">In </w:t>
      </w:r>
      <w:r w:rsidRPr="07B36634" w:rsidR="3026466A">
        <w:rPr>
          <w:rFonts w:ascii="Calibri" w:hAnsi="Calibri" w:cs="Calibri"/>
        </w:rPr>
        <w:t xml:space="preserve">conformità con quanto previsto </w:t>
      </w:r>
      <w:r w:rsidRPr="07B36634" w:rsidR="2089E0B7">
        <w:rPr>
          <w:rFonts w:ascii="Calibri" w:hAnsi="Calibri" w:cs="Calibri"/>
        </w:rPr>
        <w:t xml:space="preserve">dai Regolamenti comunitari e </w:t>
      </w:r>
      <w:r w:rsidRPr="07B36634" w:rsidR="64C8F91B">
        <w:rPr>
          <w:rFonts w:ascii="Calibri" w:hAnsi="Calibri" w:cs="Calibri"/>
        </w:rPr>
        <w:t>dalle note</w:t>
      </w:r>
      <w:r w:rsidRPr="07B36634" w:rsidR="09AD1161">
        <w:rPr>
          <w:rFonts w:ascii="Calibri" w:hAnsi="Calibri" w:cs="Calibri"/>
        </w:rPr>
        <w:t xml:space="preserve"> </w:t>
      </w:r>
      <w:r w:rsidRPr="07B36634" w:rsidR="64C8F91B">
        <w:rPr>
          <w:rFonts w:ascii="Calibri" w:hAnsi="Calibri" w:cs="Calibri"/>
        </w:rPr>
        <w:t>EGESIF i controlli dell’AdG saranno rivolti</w:t>
      </w:r>
      <w:r w:rsidRPr="07B36634" w:rsidR="4FD2C47D">
        <w:rPr>
          <w:rFonts w:ascii="Calibri" w:hAnsi="Calibri" w:cs="Calibri"/>
        </w:rPr>
        <w:t xml:space="preserve"> in particolare a tre principali aree di controllo: </w:t>
      </w:r>
    </w:p>
    <w:p w:rsidR="40C034CF" w:rsidP="009C5076" w:rsidRDefault="4FD2C47D" w14:paraId="37A93F39" w14:textId="3B1D9AD5">
      <w:pPr>
        <w:pStyle w:val="ListParagraph"/>
        <w:numPr>
          <w:ilvl w:val="0"/>
          <w:numId w:val="8"/>
        </w:numPr>
        <w:spacing w:line="276" w:lineRule="auto"/>
        <w:ind w:right="2"/>
        <w:jc w:val="both"/>
        <w:rPr>
          <w:rFonts w:ascii="Calibri" w:hAnsi="Calibri" w:eastAsia="Calibri" w:cs="Calibri"/>
        </w:rPr>
      </w:pPr>
      <w:r w:rsidRPr="07B36634">
        <w:rPr>
          <w:rFonts w:ascii="Calibri" w:hAnsi="Calibri" w:eastAsia="Calibri" w:cs="Calibri"/>
        </w:rPr>
        <w:t>aspetti amministrativi – conformità alle norme;</w:t>
      </w:r>
    </w:p>
    <w:p w:rsidR="40C034CF" w:rsidP="009C5076" w:rsidRDefault="4FD2C47D" w14:paraId="77D1AF81" w14:textId="436AF69A">
      <w:pPr>
        <w:pStyle w:val="ListParagraph"/>
        <w:numPr>
          <w:ilvl w:val="0"/>
          <w:numId w:val="8"/>
        </w:numPr>
        <w:spacing w:line="276" w:lineRule="auto"/>
        <w:ind w:right="2"/>
        <w:jc w:val="both"/>
        <w:rPr>
          <w:rFonts w:ascii="Calibri" w:hAnsi="Calibri" w:eastAsia="Calibri" w:cs="Calibri"/>
        </w:rPr>
      </w:pPr>
      <w:r w:rsidRPr="07B36634">
        <w:rPr>
          <w:rFonts w:ascii="Calibri" w:hAnsi="Calibri" w:eastAsia="Calibri" w:cs="Calibri"/>
        </w:rPr>
        <w:t xml:space="preserve">aspetti finanziari – regolarità finanziaria; </w:t>
      </w:r>
    </w:p>
    <w:p w:rsidR="40C034CF" w:rsidP="009C5076" w:rsidRDefault="35CD470B" w14:paraId="0EF4B029" w14:textId="575BB4BA">
      <w:pPr>
        <w:pStyle w:val="ListParagraph"/>
        <w:numPr>
          <w:ilvl w:val="0"/>
          <w:numId w:val="8"/>
        </w:numPr>
        <w:spacing w:line="276" w:lineRule="auto"/>
        <w:ind w:right="2"/>
        <w:jc w:val="both"/>
        <w:rPr>
          <w:rFonts w:ascii="Calibri" w:hAnsi="Calibri" w:eastAsia="Calibri" w:cs="Calibri"/>
        </w:rPr>
      </w:pPr>
      <w:r w:rsidRPr="35CD470B">
        <w:rPr>
          <w:rFonts w:ascii="Calibri" w:hAnsi="Calibri" w:eastAsia="Calibri" w:cs="Calibri"/>
        </w:rPr>
        <w:t>aspetti tecnici e fisici delle operazioni – regolarità dell’esecuzione.</w:t>
      </w:r>
    </w:p>
    <w:p w:rsidR="35CD470B" w:rsidP="35CD470B" w:rsidRDefault="35CD470B" w14:paraId="2DE45539" w14:textId="3321C32F">
      <w:pPr>
        <w:spacing w:line="276" w:lineRule="auto"/>
        <w:ind w:right="2"/>
        <w:jc w:val="both"/>
        <w:rPr>
          <w:rFonts w:ascii="Calibri" w:hAnsi="Calibri" w:cs="Calibri"/>
          <w:b/>
          <w:bCs/>
          <w:color w:val="0070C0"/>
          <w:u w:val="single"/>
        </w:rPr>
      </w:pPr>
    </w:p>
    <w:p w:rsidRPr="003166DD" w:rsidR="000E5B99" w:rsidP="07B36634" w:rsidRDefault="35CD470B" w14:paraId="33A4A7CB" w14:textId="5C370C78">
      <w:pPr>
        <w:spacing w:line="276" w:lineRule="auto"/>
        <w:ind w:right="2"/>
        <w:jc w:val="both"/>
        <w:rPr>
          <w:rFonts w:ascii="Calibri" w:hAnsi="Calibri" w:cs="Calibri"/>
        </w:rPr>
      </w:pPr>
      <w:r w:rsidRPr="35CD470B">
        <w:rPr>
          <w:rFonts w:ascii="Calibri" w:hAnsi="Calibri" w:cs="Calibri"/>
          <w:b/>
          <w:bCs/>
          <w:color w:val="0070C0"/>
          <w:u w:val="single"/>
        </w:rPr>
        <w:t>Controllo amministrativo</w:t>
      </w:r>
      <w:r w:rsidRPr="35CD470B">
        <w:rPr>
          <w:rFonts w:ascii="Calibri" w:hAnsi="Calibri" w:cs="Calibri"/>
          <w:b/>
          <w:bCs/>
          <w:color w:val="0070C0"/>
        </w:rPr>
        <w:t xml:space="preserve"> - </w:t>
      </w:r>
      <w:r w:rsidRPr="35CD470B">
        <w:rPr>
          <w:rFonts w:ascii="Calibri" w:hAnsi="Calibri" w:cs="Calibri"/>
        </w:rPr>
        <w:t>Questa tipologia di controllo si concentra sulle procedure adottate per garantire il rispetto della normativa vigente, assicurando l'uguaglianza di accesso e trattamento degli operatori economici, nonché la trasparenza nella selezione dei soggetti coinvolti nell'attuazione dei progetti. Ciò include, ad esempio, la verifica dei requisiti per partecipare a bandi pubblici o affidamenti diretti, il controllo del rispetto degli obblighi di pubblicità, l'esame della documentazione amministrativa presentata dal beneficiario per la richiesta di pagamento e il monitoraggio della durata, della pianificazione e dell’organizzazione delle attività.</w:t>
      </w:r>
    </w:p>
    <w:p w:rsidR="35CD470B" w:rsidP="35CD470B" w:rsidRDefault="35CD470B" w14:paraId="641F83B0" w14:textId="4CCE030D">
      <w:pPr>
        <w:spacing w:line="276" w:lineRule="auto"/>
        <w:jc w:val="both"/>
        <w:rPr>
          <w:rFonts w:ascii="Calibri" w:hAnsi="Calibri" w:cs="Calibri"/>
          <w:b/>
          <w:bCs/>
          <w:color w:val="0070C0"/>
          <w:u w:val="single"/>
        </w:rPr>
      </w:pPr>
    </w:p>
    <w:p w:rsidR="00804D40" w:rsidP="00804D40" w:rsidRDefault="35CD470B" w14:paraId="7F217B54" w14:textId="01237CEF">
      <w:pPr>
        <w:spacing w:line="276" w:lineRule="auto"/>
        <w:jc w:val="both"/>
        <w:rPr>
          <w:rFonts w:ascii="Calibri" w:hAnsi="Calibri" w:cs="Calibri"/>
        </w:rPr>
      </w:pPr>
      <w:r w:rsidRPr="35CD470B">
        <w:rPr>
          <w:rFonts w:ascii="Calibri" w:hAnsi="Calibri" w:cs="Calibri"/>
          <w:b/>
          <w:bCs/>
          <w:color w:val="0070C0"/>
          <w:u w:val="single"/>
        </w:rPr>
        <w:t>Controllo finanziario</w:t>
      </w:r>
      <w:r w:rsidRPr="35CD470B">
        <w:rPr>
          <w:rFonts w:ascii="Calibri" w:hAnsi="Calibri" w:cs="Calibri"/>
          <w:b/>
          <w:bCs/>
          <w:color w:val="0070C0"/>
        </w:rPr>
        <w:t xml:space="preserve"> - </w:t>
      </w:r>
      <w:r w:rsidRPr="35CD470B">
        <w:rPr>
          <w:rFonts w:ascii="Calibri" w:hAnsi="Calibri" w:cs="Calibri"/>
        </w:rPr>
        <w:t xml:space="preserve">Questa tipologia di controllo ha l’obiettivo di verificare l’esistenza dei documenti giustificativi delle spese, la correttezza dei calcoli e la conformità al periodo temporale previsto, attraverso un'analisi preliminare dell’effettività, della pertinenza e della legittimità delle spese riportate nelle richieste di rimborso. L’ammissibilità e la regolarità delle spese dichiarate saranno accertate mediante la verifica del rispetto delle normative specifiche relative ai costi ammissibili, nonché delle altre normative nazionali pertinenti, come ad esempio quelle riguardanti la contabilità. È previsto dal Reg. (UE) 2021/1060 che le norme in materia di ammissibilità delle spese siano definite sulla base di regole nazionali che prevedano, tra gli altri, il rispetto dei seguenti requisiti di carattere generale, come previsto dal Decreto del Presidente della Repubblica 5 febbraio 2018, n. 22 (laddove applicabile, fino all’entrata in vigore del nuovo regolamento relativo alla programmazione 2021-2027): </w:t>
      </w:r>
    </w:p>
    <w:p w:rsidRPr="00E90EF6" w:rsidR="00804D40" w:rsidP="009C5076" w:rsidRDefault="35CD470B" w14:paraId="4D34EA03" w14:textId="4D74788D">
      <w:pPr>
        <w:pStyle w:val="ListParagraph"/>
        <w:numPr>
          <w:ilvl w:val="0"/>
          <w:numId w:val="18"/>
        </w:numPr>
        <w:spacing w:line="276" w:lineRule="auto"/>
        <w:jc w:val="both"/>
        <w:rPr>
          <w:rFonts w:ascii="Calibri" w:hAnsi="Calibri" w:cs="Calibri"/>
        </w:rPr>
      </w:pPr>
      <w:r w:rsidRPr="35CD470B">
        <w:rPr>
          <w:rFonts w:ascii="Calibri" w:hAnsi="Calibri" w:cs="Calibri"/>
          <w:b/>
          <w:bCs/>
        </w:rPr>
        <w:t>temporalità:</w:t>
      </w:r>
      <w:r w:rsidRPr="35CD470B">
        <w:rPr>
          <w:rFonts w:ascii="Calibri" w:hAnsi="Calibri" w:cs="Calibri"/>
        </w:rPr>
        <w:t xml:space="preserve"> le spese sono ammissibili se comprese tra la data di presentazione del programma alla Commissione, o il 1° gennaio 2021 se anteriore, e il 31 dicembre 2029 come previsto dall’art.63 comma 2 del Reg. (UE) 2021/1060, fatte salve le eccezioni previste da Regolamento. </w:t>
      </w:r>
      <w:r w:rsidRPr="35CD470B">
        <w:rPr>
          <w:rFonts w:asciiTheme="minorHAnsi" w:hAnsiTheme="minorHAnsi" w:eastAsiaTheme="minorEastAsia" w:cstheme="minorBidi"/>
        </w:rPr>
        <w:t>Tra queste eccezioni rientrano, i progetti scaglionati, per i quali si rimanda al dettaglio riportato nel paragrafo 4.7;</w:t>
      </w:r>
    </w:p>
    <w:p w:rsidRPr="00E90EF6" w:rsidR="00804D40" w:rsidP="009C5076" w:rsidRDefault="35CD470B" w14:paraId="0CF03FAE" w14:textId="24EFEFBE">
      <w:pPr>
        <w:pStyle w:val="ListParagraph"/>
        <w:numPr>
          <w:ilvl w:val="0"/>
          <w:numId w:val="18"/>
        </w:numPr>
        <w:spacing w:line="276" w:lineRule="auto"/>
        <w:jc w:val="both"/>
        <w:rPr>
          <w:rFonts w:ascii="Calibri" w:hAnsi="Calibri" w:cs="Calibri"/>
        </w:rPr>
      </w:pPr>
      <w:r w:rsidRPr="35CD470B">
        <w:rPr>
          <w:rFonts w:ascii="Calibri" w:hAnsi="Calibri" w:cs="Calibri"/>
          <w:b/>
          <w:bCs/>
        </w:rPr>
        <w:t>pertinenza e imputabilità: l</w:t>
      </w:r>
      <w:r w:rsidRPr="35CD470B">
        <w:rPr>
          <w:rFonts w:ascii="Calibri" w:hAnsi="Calibri" w:cs="Calibri"/>
        </w:rPr>
        <w:t>e spese devono essere riferite all’intervento finanziato (operazioni previste dall’AdG sulla base dei criteri di selezione fissati e adottati dal Comitato di Sorveglianza) e coerenti con le procedure di attuazione e con le disposizioni specifiche del programma;</w:t>
      </w:r>
    </w:p>
    <w:p w:rsidR="00804D40" w:rsidP="009C5076" w:rsidRDefault="35CD470B" w14:paraId="77C7BEBD" w14:textId="5C3B9AEB">
      <w:pPr>
        <w:pStyle w:val="ListParagraph"/>
        <w:numPr>
          <w:ilvl w:val="0"/>
          <w:numId w:val="18"/>
        </w:numPr>
        <w:spacing w:line="276" w:lineRule="auto"/>
        <w:jc w:val="both"/>
        <w:rPr>
          <w:rFonts w:ascii="Calibri" w:hAnsi="Calibri" w:cs="Calibri"/>
        </w:rPr>
      </w:pPr>
      <w:r w:rsidRPr="35CD470B">
        <w:rPr>
          <w:rFonts w:ascii="Calibri" w:hAnsi="Calibri" w:cs="Calibri"/>
          <w:b/>
          <w:bCs/>
        </w:rPr>
        <w:t>effettività:</w:t>
      </w:r>
      <w:r w:rsidRPr="35CD470B">
        <w:rPr>
          <w:rFonts w:ascii="Calibri" w:hAnsi="Calibri" w:cs="Calibri"/>
        </w:rPr>
        <w:t xml:space="preserve"> le spese devono essere state effettivamente sostenute e debitamente comprovate da documenti giustificativi di spesa o aventi valore probatorio equivalente (ad esempio fatture quietanzate, documenti contabili, ecc.);</w:t>
      </w:r>
    </w:p>
    <w:p w:rsidRPr="004C0994" w:rsidR="00D6044B" w:rsidP="009C5076" w:rsidRDefault="35CD470B" w14:paraId="2270EF31" w14:textId="2839CC3D">
      <w:pPr>
        <w:pStyle w:val="ListParagraph"/>
        <w:numPr>
          <w:ilvl w:val="0"/>
          <w:numId w:val="18"/>
        </w:numPr>
        <w:spacing w:line="276" w:lineRule="auto"/>
        <w:ind w:right="2"/>
        <w:jc w:val="both"/>
        <w:rPr>
          <w:rFonts w:ascii="Calibri" w:hAnsi="Calibri" w:cs="Calibri"/>
        </w:rPr>
      </w:pPr>
      <w:r w:rsidRPr="35CD470B">
        <w:rPr>
          <w:rFonts w:ascii="Calibri" w:hAnsi="Calibri" w:cs="Calibri"/>
          <w:b/>
          <w:bCs/>
        </w:rPr>
        <w:t>non cumulabilità:</w:t>
      </w:r>
      <w:r w:rsidRPr="35CD470B">
        <w:rPr>
          <w:rFonts w:ascii="Calibri" w:hAnsi="Calibri" w:cs="Calibri"/>
        </w:rPr>
        <w:t xml:space="preserve"> le spese non devono essere state già oggetto di altro finanziamento, ciò al fine di evitare il cumulo di finanziamenti, ovvero il “doppio finanziamento”. A tal fine tutti i documenti giustificativi di spesa devono contenere il CUP e il CIG, ove</w:t>
      </w:r>
      <w:r w:rsidRPr="35CD470B">
        <w:rPr>
          <w:rFonts w:ascii="Calibri" w:hAnsi="Calibri" w:cs="Calibri"/>
          <w:lang w:bidi="it-IT"/>
        </w:rPr>
        <w:t xml:space="preserve"> applicabile;</w:t>
      </w:r>
    </w:p>
    <w:p w:rsidR="75369CC3" w:rsidP="009C5076" w:rsidRDefault="35CD470B" w14:paraId="444E3C28" w14:textId="62D04C87">
      <w:pPr>
        <w:pStyle w:val="ListParagraph"/>
        <w:numPr>
          <w:ilvl w:val="0"/>
          <w:numId w:val="18"/>
        </w:numPr>
        <w:spacing w:line="276" w:lineRule="auto"/>
        <w:ind w:right="2"/>
        <w:jc w:val="both"/>
        <w:rPr>
          <w:rFonts w:ascii="Calibri" w:hAnsi="Calibri" w:cs="Calibri"/>
          <w:lang w:bidi="it-IT"/>
        </w:rPr>
      </w:pPr>
      <w:r w:rsidRPr="35CD470B">
        <w:rPr>
          <w:rFonts w:ascii="Calibri" w:hAnsi="Calibri" w:cs="Calibri"/>
          <w:b/>
          <w:bCs/>
          <w:lang w:bidi="it-IT"/>
        </w:rPr>
        <w:t>stabilità:</w:t>
      </w:r>
      <w:r w:rsidRPr="35CD470B">
        <w:rPr>
          <w:rFonts w:ascii="Calibri" w:hAnsi="Calibri" w:cs="Calibri"/>
          <w:lang w:bidi="it-IT"/>
        </w:rPr>
        <w:t xml:space="preserve"> le spese devono mantenere la destinazione d’uso per 5 anni (o 3 anni per le PMI). In caso di trasferimento, cessazione, modifica o vendita con vantaggi indebiti, i fondi devono essere rimborsati, salvo eccezioni per cause di forza maggiore;</w:t>
      </w:r>
    </w:p>
    <w:p w:rsidR="00AD23B3" w:rsidP="009C5076" w:rsidRDefault="35CD470B" w14:paraId="43D7A016" w14:textId="041298E6">
      <w:pPr>
        <w:numPr>
          <w:ilvl w:val="0"/>
          <w:numId w:val="18"/>
        </w:numPr>
        <w:spacing w:after="240" w:line="276" w:lineRule="auto"/>
        <w:ind w:right="2"/>
        <w:jc w:val="both"/>
        <w:rPr>
          <w:rFonts w:ascii="Calibri" w:hAnsi="Calibri" w:cs="Calibri"/>
        </w:rPr>
      </w:pPr>
      <w:r w:rsidRPr="35CD470B">
        <w:rPr>
          <w:rFonts w:ascii="Calibri" w:hAnsi="Calibri" w:cs="Calibri"/>
          <w:b/>
          <w:bCs/>
        </w:rPr>
        <w:t>controllo tecnico</w:t>
      </w:r>
      <w:r w:rsidRPr="35CD470B">
        <w:rPr>
          <w:rFonts w:ascii="Calibri" w:hAnsi="Calibri" w:cs="Calibri"/>
        </w:rPr>
        <w:t>: questa tipologia di controllo ha l’obiettivo di verificare l’adeguatezza dei lavori prodotti/servizi intermedi e finali, l’utilizzo del servizio erogato, la regolarità dei lavori eseguiti.</w:t>
      </w:r>
    </w:p>
    <w:p w:rsidR="15615316" w:rsidP="3175BA12" w:rsidRDefault="52C5CEAB" w14:paraId="0BF2B23E" w14:textId="68D1AD30">
      <w:pPr>
        <w:spacing w:after="240" w:line="276" w:lineRule="auto"/>
        <w:ind w:right="2"/>
        <w:jc w:val="both"/>
        <w:rPr>
          <w:rFonts w:ascii="Calibri" w:hAnsi="Calibri" w:eastAsia="Calibri" w:cs="Calibri"/>
        </w:rPr>
      </w:pPr>
      <w:r w:rsidRPr="52C5CEAB">
        <w:rPr>
          <w:rFonts w:ascii="Calibri" w:hAnsi="Calibri" w:cs="Calibri"/>
        </w:rPr>
        <w:t xml:space="preserve">Controllo degli output fisici </w:t>
      </w:r>
      <w:r w:rsidRPr="52C5CEAB">
        <w:rPr>
          <w:rFonts w:ascii="Calibri" w:hAnsi="Calibri" w:eastAsia="Calibri" w:cs="Calibri"/>
        </w:rPr>
        <w:t xml:space="preserve">con particolare attenzione ai seguenti elementi: </w:t>
      </w:r>
    </w:p>
    <w:p w:rsidR="373D8A16" w:rsidP="009C5076" w:rsidRDefault="52C5CEAB" w14:paraId="7B0FEA87" w14:textId="3CAD5728">
      <w:pPr>
        <w:pStyle w:val="ListParagraph"/>
        <w:numPr>
          <w:ilvl w:val="0"/>
          <w:numId w:val="7"/>
        </w:numPr>
        <w:spacing w:after="240" w:line="276" w:lineRule="auto"/>
        <w:ind w:right="2"/>
        <w:jc w:val="both"/>
        <w:rPr>
          <w:rFonts w:ascii="Calibri" w:hAnsi="Calibri" w:eastAsia="Calibri" w:cs="Calibri"/>
        </w:rPr>
      </w:pPr>
      <w:r w:rsidRPr="52C5CEAB">
        <w:rPr>
          <w:rFonts w:ascii="Calibri" w:hAnsi="Calibri" w:eastAsia="Calibri" w:cs="Calibri"/>
        </w:rPr>
        <w:t xml:space="preserve">la valorizzazione degli indicatori di output comuni e di Programma; </w:t>
      </w:r>
    </w:p>
    <w:p w:rsidR="373D8A16" w:rsidP="009C5076" w:rsidRDefault="35CD470B" w14:paraId="68489BF9" w14:textId="26A5AF18">
      <w:pPr>
        <w:pStyle w:val="ListParagraph"/>
        <w:numPr>
          <w:ilvl w:val="0"/>
          <w:numId w:val="7"/>
        </w:numPr>
        <w:spacing w:after="240" w:line="276" w:lineRule="auto"/>
        <w:ind w:right="2"/>
        <w:jc w:val="both"/>
        <w:rPr>
          <w:rFonts w:ascii="Calibri" w:hAnsi="Calibri" w:eastAsia="Calibri" w:cs="Calibri"/>
        </w:rPr>
      </w:pPr>
      <w:r w:rsidRPr="35CD470B">
        <w:rPr>
          <w:rFonts w:ascii="Calibri" w:hAnsi="Calibri" w:eastAsia="Calibri" w:cs="Calibri"/>
        </w:rPr>
        <w:t>la coerenza degli indicatori valorizzati con quelli individuati nel Programma e con l’operazione oggetto di verifica;</w:t>
      </w:r>
    </w:p>
    <w:p w:rsidR="373D8A16" w:rsidP="009C5076" w:rsidRDefault="52C5CEAB" w14:paraId="153881EF" w14:textId="544BEE59">
      <w:pPr>
        <w:pStyle w:val="ListParagraph"/>
        <w:numPr>
          <w:ilvl w:val="0"/>
          <w:numId w:val="7"/>
        </w:numPr>
        <w:spacing w:after="240" w:line="276" w:lineRule="auto"/>
        <w:ind w:right="2"/>
        <w:jc w:val="both"/>
        <w:rPr>
          <w:rFonts w:ascii="Calibri" w:hAnsi="Calibri" w:eastAsia="Calibri" w:cs="Calibri"/>
        </w:rPr>
      </w:pPr>
      <w:r w:rsidRPr="52C5CEAB">
        <w:rPr>
          <w:rFonts w:ascii="Calibri" w:hAnsi="Calibri" w:eastAsia="Calibri" w:cs="Calibri"/>
        </w:rPr>
        <w:t>la disponibilità di documenti giustificati che supportino i valori inseriti.</w:t>
      </w:r>
    </w:p>
    <w:p w:rsidRPr="003166DD" w:rsidR="00D17A44" w:rsidP="009211BA" w:rsidRDefault="00571B05" w14:paraId="3906E2B6" w14:textId="555F4B46">
      <w:pPr>
        <w:spacing w:line="276" w:lineRule="auto"/>
        <w:jc w:val="both"/>
        <w:rPr>
          <w:rFonts w:ascii="Calibri" w:hAnsi="Calibri" w:cs="Calibri"/>
        </w:rPr>
      </w:pPr>
      <w:r w:rsidRPr="003166DD">
        <w:rPr>
          <w:rFonts w:ascii="Calibri" w:hAnsi="Calibri" w:cs="Calibri"/>
        </w:rPr>
        <w:t xml:space="preserve">Come già riportato in precedenza l’AdG prevede </w:t>
      </w:r>
      <w:r w:rsidR="001B6F2B">
        <w:rPr>
          <w:rFonts w:ascii="Calibri" w:hAnsi="Calibri" w:cs="Calibri"/>
        </w:rPr>
        <w:t xml:space="preserve">le seguenti </w:t>
      </w:r>
      <w:r w:rsidRPr="003166DD" w:rsidR="009D3DAE">
        <w:rPr>
          <w:rFonts w:ascii="Calibri" w:hAnsi="Calibri" w:cs="Calibri"/>
        </w:rPr>
        <w:t>tipologie di controllo</w:t>
      </w:r>
      <w:r w:rsidR="00AB1DF9">
        <w:rPr>
          <w:rFonts w:ascii="Calibri" w:hAnsi="Calibri" w:cs="Calibri"/>
        </w:rPr>
        <w:t>,</w:t>
      </w:r>
      <w:r w:rsidR="001B6F2B">
        <w:rPr>
          <w:rFonts w:ascii="Calibri" w:hAnsi="Calibri" w:cs="Calibri"/>
        </w:rPr>
        <w:t xml:space="preserve"> meglio descritte nei successivi para</w:t>
      </w:r>
      <w:r w:rsidR="00AB1DF9">
        <w:rPr>
          <w:rFonts w:ascii="Calibri" w:hAnsi="Calibri" w:cs="Calibri"/>
        </w:rPr>
        <w:t>grafi</w:t>
      </w:r>
      <w:r w:rsidR="001B6F2B">
        <w:rPr>
          <w:rFonts w:ascii="Calibri" w:hAnsi="Calibri" w:cs="Calibri"/>
        </w:rPr>
        <w:t>:</w:t>
      </w:r>
      <w:r w:rsidRPr="003166DD" w:rsidR="009D3DAE">
        <w:rPr>
          <w:rFonts w:ascii="Calibri" w:hAnsi="Calibri" w:cs="Calibri"/>
        </w:rPr>
        <w:t xml:space="preserve"> </w:t>
      </w:r>
    </w:p>
    <w:p w:rsidRPr="003166DD" w:rsidR="00833713" w:rsidP="009C5076" w:rsidRDefault="35CD470B" w14:paraId="7352744A" w14:textId="453266C3">
      <w:pPr>
        <w:pStyle w:val="ListParagraph"/>
        <w:numPr>
          <w:ilvl w:val="0"/>
          <w:numId w:val="3"/>
        </w:numPr>
        <w:spacing w:line="276" w:lineRule="auto"/>
        <w:jc w:val="both"/>
        <w:rPr>
          <w:rFonts w:ascii="Calibri" w:hAnsi="Calibri" w:cs="Calibri"/>
        </w:rPr>
      </w:pPr>
      <w:r w:rsidRPr="35CD470B">
        <w:rPr>
          <w:rFonts w:ascii="Calibri" w:hAnsi="Calibri" w:cs="Calibri"/>
          <w:b/>
          <w:bCs/>
          <w:color w:val="0070C0"/>
          <w:u w:val="single"/>
        </w:rPr>
        <w:t>Verifiche amministrative</w:t>
      </w:r>
      <w:r w:rsidRPr="35CD470B">
        <w:rPr>
          <w:rFonts w:ascii="Calibri" w:hAnsi="Calibri" w:cs="Calibri"/>
        </w:rPr>
        <w:t xml:space="preserve"> controllo a distanza (desk) della documentazione amministrativo-contabile, finalizzato a garantire il rispetto degli adempimenti giuridico-amministrativi previsti dalla normativa di riferimento;</w:t>
      </w:r>
    </w:p>
    <w:p w:rsidRPr="003166DD" w:rsidR="00833713" w:rsidP="009C5076" w:rsidRDefault="35CD470B" w14:paraId="28FDB1BE" w14:textId="55CDC6F3">
      <w:pPr>
        <w:pStyle w:val="ListParagraph"/>
        <w:numPr>
          <w:ilvl w:val="0"/>
          <w:numId w:val="3"/>
        </w:numPr>
        <w:spacing w:line="276" w:lineRule="auto"/>
        <w:jc w:val="both"/>
        <w:rPr>
          <w:rFonts w:ascii="Calibri" w:hAnsi="Calibri" w:cs="Calibri"/>
        </w:rPr>
      </w:pPr>
      <w:r w:rsidRPr="35CD470B">
        <w:rPr>
          <w:rFonts w:ascii="Calibri" w:hAnsi="Calibri" w:cs="Calibri"/>
          <w:b/>
          <w:bCs/>
          <w:color w:val="0070C0"/>
          <w:u w:val="single"/>
        </w:rPr>
        <w:t xml:space="preserve">Verifiche in loco </w:t>
      </w:r>
      <w:r w:rsidRPr="35CD470B">
        <w:rPr>
          <w:rFonts w:ascii="Calibri" w:hAnsi="Calibri" w:cs="Calibri"/>
        </w:rPr>
        <w:t xml:space="preserve">controllo fisico nel luogo che ha ricevuto il finanziamento che ha l’obiettivo di verificare la coerenza del progetto realizzato con gli atti amministrativi. </w:t>
      </w:r>
    </w:p>
    <w:p w:rsidRPr="005D32F3" w:rsidR="00230CE7" w:rsidP="009C5076" w:rsidRDefault="52C5CEAB" w14:paraId="63838C58" w14:textId="3BED74EB">
      <w:pPr>
        <w:pStyle w:val="Heading2"/>
        <w:numPr>
          <w:ilvl w:val="1"/>
          <w:numId w:val="45"/>
        </w:numPr>
        <w:rPr>
          <w:rFonts w:ascii="Calibri" w:hAnsi="Calibri" w:cs="Calibri"/>
          <w:b/>
          <w:bCs/>
          <w:color w:val="215E99" w:themeColor="text2" w:themeTint="BF"/>
          <w:sz w:val="28"/>
          <w:szCs w:val="28"/>
        </w:rPr>
      </w:pPr>
      <w:r w:rsidRPr="52C5CEAB">
        <w:rPr>
          <w:rFonts w:ascii="Calibri" w:hAnsi="Calibri" w:cs="Calibri"/>
          <w:b/>
          <w:bCs/>
          <w:color w:val="215E99" w:themeColor="text2" w:themeTint="BF"/>
          <w:sz w:val="28"/>
          <w:szCs w:val="28"/>
        </w:rPr>
        <w:t xml:space="preserve">   </w:t>
      </w:r>
      <w:bookmarkStart w:name="_Toc190354108" w:id="25"/>
      <w:r w:rsidRPr="52C5CEAB">
        <w:rPr>
          <w:rFonts w:ascii="Calibri" w:hAnsi="Calibri" w:cs="Calibri"/>
          <w:b/>
          <w:bCs/>
          <w:color w:val="215E99" w:themeColor="text2" w:themeTint="BF"/>
          <w:sz w:val="28"/>
          <w:szCs w:val="28"/>
        </w:rPr>
        <w:t>Le verifiche amministrative</w:t>
      </w:r>
      <w:bookmarkEnd w:id="25"/>
      <w:r w:rsidRPr="52C5CEAB">
        <w:rPr>
          <w:rFonts w:ascii="Calibri" w:hAnsi="Calibri" w:cs="Calibri"/>
          <w:b/>
          <w:bCs/>
          <w:color w:val="215E99" w:themeColor="text2" w:themeTint="BF"/>
          <w:sz w:val="28"/>
          <w:szCs w:val="28"/>
        </w:rPr>
        <w:t xml:space="preserve"> </w:t>
      </w:r>
    </w:p>
    <w:p w:rsidRPr="00927C3C" w:rsidR="003E6D05" w:rsidP="35CD470B" w:rsidRDefault="35CD470B" w14:paraId="2142279B" w14:textId="51693A89">
      <w:pPr>
        <w:pBdr>
          <w:top w:val="nil"/>
          <w:left w:val="nil"/>
          <w:bottom w:val="nil"/>
          <w:right w:val="nil"/>
          <w:between w:val="nil"/>
          <w:bar w:val="nil"/>
        </w:pBdr>
        <w:tabs>
          <w:tab w:val="left" w:pos="9214"/>
        </w:tabs>
        <w:spacing w:before="120" w:after="120" w:line="23" w:lineRule="atLeast"/>
        <w:ind w:right="2"/>
        <w:jc w:val="both"/>
        <w:rPr>
          <w:rFonts w:ascii="Calibri" w:hAnsi="Calibri" w:cs="Calibri"/>
        </w:rPr>
      </w:pPr>
      <w:r w:rsidRPr="35CD470B">
        <w:rPr>
          <w:rFonts w:ascii="Calibri" w:hAnsi="Calibri" w:cs="Calibri"/>
        </w:rPr>
        <w:t>Le verifiche amministrative (desk), come già accennato, sono finalizzate a verificare, attraverso l'analisi della documentazione relativa all'operazione, l’adeguatezza delle procedure sia in fase di selezione sia di attuazione dell'operazione stessa, l'ammissibilità delle spese sostenute e il raggiungimento degli obiettivi o dei risultati previsti. Nella Programmazione 2021-2027 le verifiche desk saranno effettuate a campione sulla base di una valutazione dei rischi effettuata ex ante che identifica i fattori di rischio, la frequenza, la portata e il grado di copertura delle verifiche. Il campione che viene estratto permette all'AdG di individuare aree di controllo specifiche e prioritarie legate al rischio e rappresenta uno strumento fondamentale per sviluppare una pianificazione efficace dei controlli da effettuare. Essa consente, inoltre, di eseguire le verifiche in tempi adeguati al fine di garantire al Beneficiario di ricevere l'importo dovuto entro 80 giorni dalla presentazione della domanda di rimborso ai sensi dell’art. 74 comma 1 lettera b) del Reg. (UE) 2021/1060 e che le verifiche vengano completate prima della presentazione dei conti finali.</w:t>
      </w:r>
    </w:p>
    <w:p w:rsidRPr="00927C3C" w:rsidR="00995D97" w:rsidP="00AD23B3" w:rsidRDefault="008629D8" w14:paraId="7FDE12AE" w14:textId="116EAC9B">
      <w:pPr>
        <w:spacing w:before="120" w:after="120" w:line="23" w:lineRule="atLeast"/>
        <w:ind w:right="2"/>
        <w:jc w:val="both"/>
        <w:rPr>
          <w:rFonts w:ascii="Calibri" w:hAnsi="Calibri" w:cs="Calibri"/>
        </w:rPr>
      </w:pPr>
      <w:r w:rsidRPr="00927C3C">
        <w:rPr>
          <w:rFonts w:ascii="Calibri" w:hAnsi="Calibri" w:cs="Calibri"/>
        </w:rPr>
        <w:t>I controlli</w:t>
      </w:r>
      <w:r w:rsidRPr="00927C3C" w:rsidR="00995D97">
        <w:rPr>
          <w:rFonts w:ascii="Calibri" w:hAnsi="Calibri" w:cs="Calibri"/>
        </w:rPr>
        <w:t xml:space="preserve"> vengono formalizzat</w:t>
      </w:r>
      <w:r w:rsidRPr="00927C3C" w:rsidR="00F11883">
        <w:rPr>
          <w:rFonts w:ascii="Calibri" w:hAnsi="Calibri" w:cs="Calibri"/>
        </w:rPr>
        <w:t>i</w:t>
      </w:r>
      <w:r w:rsidRPr="00927C3C" w:rsidR="00995D97">
        <w:rPr>
          <w:rFonts w:ascii="Calibri" w:hAnsi="Calibri" w:cs="Calibri"/>
        </w:rPr>
        <w:t xml:space="preserve"> attraverso la compilazione di apposite checklist</w:t>
      </w:r>
      <w:r w:rsidRPr="00927C3C" w:rsidR="003418E5">
        <w:rPr>
          <w:rFonts w:ascii="Calibri" w:hAnsi="Calibri" w:cs="Calibri"/>
        </w:rPr>
        <w:t>, differenziate a seconda dell</w:t>
      </w:r>
      <w:r w:rsidRPr="00927C3C" w:rsidR="00E548D2">
        <w:rPr>
          <w:rFonts w:ascii="Calibri" w:hAnsi="Calibri" w:cs="Calibri"/>
        </w:rPr>
        <w:t xml:space="preserve">’Azione di riferimento, strutturate con punti di controllo </w:t>
      </w:r>
      <w:r w:rsidRPr="00927C3C" w:rsidR="009E5FA6">
        <w:rPr>
          <w:rFonts w:ascii="Calibri" w:hAnsi="Calibri" w:cs="Calibri"/>
        </w:rPr>
        <w:t xml:space="preserve">con riferimento ai seguenti elementi: </w:t>
      </w:r>
    </w:p>
    <w:p w:rsidRPr="000F6C1C" w:rsidR="003D6EC9" w:rsidP="009C5076" w:rsidRDefault="35CD470B" w14:paraId="1799E6B4" w14:textId="20A83418">
      <w:pPr>
        <w:widowControl w:val="0"/>
        <w:numPr>
          <w:ilvl w:val="0"/>
          <w:numId w:val="14"/>
        </w:numPr>
        <w:spacing w:before="120" w:after="120" w:line="23" w:lineRule="atLeast"/>
        <w:ind w:left="322"/>
        <w:jc w:val="both"/>
        <w:rPr>
          <w:rFonts w:ascii="Calibri" w:hAnsi="Calibri" w:cs="Calibri"/>
        </w:rPr>
      </w:pPr>
      <w:r w:rsidRPr="35CD470B">
        <w:rPr>
          <w:rFonts w:ascii="Calibri" w:hAnsi="Calibri" w:cs="Calibri"/>
        </w:rPr>
        <w:t>correttezza della domanda di rimborso presentata dai Beneficiari e coerenza con la documentazione allegata alla stessa;</w:t>
      </w:r>
    </w:p>
    <w:p w:rsidRPr="000F6C1C" w:rsidR="003D6EC9" w:rsidP="009C5076" w:rsidRDefault="003D6EC9" w14:paraId="06343540" w14:textId="77777777">
      <w:pPr>
        <w:widowControl w:val="0"/>
        <w:numPr>
          <w:ilvl w:val="0"/>
          <w:numId w:val="14"/>
        </w:numPr>
        <w:spacing w:before="120" w:after="120" w:line="23" w:lineRule="atLeast"/>
        <w:ind w:left="322"/>
        <w:jc w:val="both"/>
        <w:rPr>
          <w:rFonts w:ascii="Calibri" w:hAnsi="Calibri" w:cs="Calibri"/>
        </w:rPr>
      </w:pPr>
      <w:r w:rsidRPr="000F6C1C">
        <w:rPr>
          <w:rFonts w:ascii="Calibri" w:hAnsi="Calibri" w:cs="Calibri"/>
        </w:rPr>
        <w:t>rispetto del periodo di ammissibilità della spesa specificato nei documenti volti a fornire ai beneficiari le informazioni relative alle condizioni per il sostegno delle operazioni;</w:t>
      </w:r>
    </w:p>
    <w:p w:rsidRPr="000F6C1C" w:rsidR="003D6EC9" w:rsidP="009C5076" w:rsidRDefault="003D6EC9" w14:paraId="1BEB9206" w14:textId="5D5C8290">
      <w:pPr>
        <w:widowControl w:val="0"/>
        <w:numPr>
          <w:ilvl w:val="0"/>
          <w:numId w:val="14"/>
        </w:numPr>
        <w:spacing w:before="120" w:after="120" w:line="23" w:lineRule="atLeast"/>
        <w:ind w:left="322"/>
        <w:jc w:val="both"/>
        <w:rPr>
          <w:rFonts w:ascii="Calibri" w:hAnsi="Calibri" w:cs="Calibri"/>
        </w:rPr>
      </w:pPr>
      <w:r w:rsidRPr="000F6C1C">
        <w:rPr>
          <w:rFonts w:ascii="Calibri" w:hAnsi="Calibri" w:cs="Calibri"/>
        </w:rPr>
        <w:t>conformità del progetto realizzato con il progetto approvato, comprese eventuali varia</w:t>
      </w:r>
      <w:r w:rsidRPr="000F6C1C" w:rsidR="00150575">
        <w:rPr>
          <w:rFonts w:ascii="Calibri" w:hAnsi="Calibri" w:cs="Calibri"/>
        </w:rPr>
        <w:t xml:space="preserve">nti </w:t>
      </w:r>
      <w:r w:rsidRPr="000F6C1C">
        <w:rPr>
          <w:rFonts w:ascii="Calibri" w:hAnsi="Calibri" w:cs="Calibri"/>
        </w:rPr>
        <w:t>di progetto approvate in base alle procedure previste;</w:t>
      </w:r>
    </w:p>
    <w:p w:rsidRPr="000F6C1C" w:rsidR="003D6EC9" w:rsidP="009C5076" w:rsidRDefault="003D6EC9" w14:paraId="374DA561" w14:textId="77777777">
      <w:pPr>
        <w:widowControl w:val="0"/>
        <w:numPr>
          <w:ilvl w:val="0"/>
          <w:numId w:val="14"/>
        </w:numPr>
        <w:spacing w:before="120" w:after="120" w:line="23" w:lineRule="atLeast"/>
        <w:ind w:left="322"/>
        <w:jc w:val="both"/>
        <w:rPr>
          <w:rFonts w:ascii="Calibri" w:hAnsi="Calibri" w:cs="Calibri"/>
        </w:rPr>
      </w:pPr>
      <w:r w:rsidRPr="000F6C1C">
        <w:rPr>
          <w:rFonts w:ascii="Calibri" w:hAnsi="Calibri" w:cs="Calibri"/>
        </w:rPr>
        <w:t>conformità con il tasso di finanziamento approvato (ove applicabile);</w:t>
      </w:r>
    </w:p>
    <w:p w:rsidRPr="000F6C1C" w:rsidR="003D6EC9" w:rsidP="009C5076" w:rsidRDefault="003D6EC9" w14:paraId="38CE52BB" w14:textId="77777777">
      <w:pPr>
        <w:widowControl w:val="0"/>
        <w:numPr>
          <w:ilvl w:val="0"/>
          <w:numId w:val="14"/>
        </w:numPr>
        <w:spacing w:before="120" w:after="120" w:line="23" w:lineRule="atLeast"/>
        <w:ind w:left="322"/>
        <w:jc w:val="both"/>
        <w:rPr>
          <w:rFonts w:ascii="Calibri" w:hAnsi="Calibri" w:cs="Calibri"/>
        </w:rPr>
      </w:pPr>
      <w:r w:rsidRPr="000F6C1C">
        <w:rPr>
          <w:rFonts w:ascii="Calibri" w:hAnsi="Calibri" w:cs="Calibri"/>
        </w:rPr>
        <w:t>rispetto delle norme di ammissibilità e della disciplina provinciale, nazionale e comunitaria in materia di appalti pubblici, aiuti di Stato, ambiente, strumenti finanziari, sviluppo sostenibile, pubblicità e requisiti di pari opportunità e di non discriminazione;</w:t>
      </w:r>
    </w:p>
    <w:p w:rsidRPr="000F6C1C" w:rsidR="003D6EC9" w:rsidP="009C5076" w:rsidRDefault="003D6EC9" w14:paraId="5E489744" w14:textId="77777777">
      <w:pPr>
        <w:widowControl w:val="0"/>
        <w:numPr>
          <w:ilvl w:val="0"/>
          <w:numId w:val="14"/>
        </w:numPr>
        <w:spacing w:before="120" w:after="120" w:line="23" w:lineRule="atLeast"/>
        <w:ind w:left="322"/>
        <w:jc w:val="both"/>
        <w:rPr>
          <w:rFonts w:ascii="Calibri" w:hAnsi="Calibri" w:cs="Calibri"/>
        </w:rPr>
      </w:pPr>
      <w:r w:rsidRPr="000F6C1C">
        <w:rPr>
          <w:rFonts w:ascii="Calibri" w:hAnsi="Calibri" w:cs="Calibri"/>
        </w:rPr>
        <w:t>effettiva realizzazione del progetto, in coerenza con la decisione di sovvenzione, compresi gli indicatori comuni e specifici;</w:t>
      </w:r>
    </w:p>
    <w:p w:rsidRPr="000F6C1C" w:rsidR="003D6EC9" w:rsidP="009C5076" w:rsidRDefault="003D6EC9" w14:paraId="21DFE28C" w14:textId="77777777">
      <w:pPr>
        <w:widowControl w:val="0"/>
        <w:numPr>
          <w:ilvl w:val="0"/>
          <w:numId w:val="14"/>
        </w:numPr>
        <w:spacing w:before="120" w:after="120" w:line="23" w:lineRule="atLeast"/>
        <w:ind w:left="322"/>
        <w:jc w:val="both"/>
        <w:rPr>
          <w:rFonts w:ascii="Calibri" w:hAnsi="Calibri" w:cs="Calibri"/>
        </w:rPr>
      </w:pPr>
      <w:r w:rsidRPr="000F6C1C">
        <w:rPr>
          <w:rFonts w:ascii="Calibri" w:hAnsi="Calibri" w:cs="Calibri"/>
        </w:rPr>
        <w:t>effettività delle spese dichiarate ed esistenza di una pista di controllo adeguata;</w:t>
      </w:r>
    </w:p>
    <w:p w:rsidRPr="000F6C1C" w:rsidR="003D6EC9" w:rsidP="009C5076" w:rsidRDefault="003D6EC9" w14:paraId="2502DC58" w14:textId="77777777">
      <w:pPr>
        <w:widowControl w:val="0"/>
        <w:numPr>
          <w:ilvl w:val="0"/>
          <w:numId w:val="14"/>
        </w:numPr>
        <w:spacing w:before="120" w:after="120" w:line="23" w:lineRule="atLeast"/>
        <w:ind w:left="322"/>
        <w:jc w:val="both"/>
        <w:rPr>
          <w:rFonts w:ascii="Calibri" w:hAnsi="Calibri" w:cs="Calibri"/>
        </w:rPr>
      </w:pPr>
      <w:r w:rsidRPr="000F6C1C">
        <w:rPr>
          <w:rFonts w:ascii="Calibri" w:hAnsi="Calibri" w:cs="Calibri"/>
        </w:rPr>
        <w:t>esistenza di un sistema di contabilità separata o una codificazione contabile adeguata delle transazioni effettuate dai beneficiari;</w:t>
      </w:r>
    </w:p>
    <w:p w:rsidRPr="000F6C1C" w:rsidR="003D6EC9" w:rsidP="009C5076" w:rsidRDefault="003D6EC9" w14:paraId="79CBDA61" w14:textId="77777777">
      <w:pPr>
        <w:widowControl w:val="0"/>
        <w:numPr>
          <w:ilvl w:val="0"/>
          <w:numId w:val="14"/>
        </w:numPr>
        <w:spacing w:before="120" w:after="120" w:line="23" w:lineRule="atLeast"/>
        <w:ind w:left="322"/>
        <w:jc w:val="both"/>
        <w:rPr>
          <w:rFonts w:ascii="Calibri" w:hAnsi="Calibri" w:cs="Calibri"/>
        </w:rPr>
      </w:pPr>
      <w:r w:rsidRPr="000F6C1C">
        <w:rPr>
          <w:rFonts w:ascii="Calibri" w:hAnsi="Calibri" w:cs="Calibri"/>
        </w:rPr>
        <w:t>assenza di doppio finanziamento;</w:t>
      </w:r>
    </w:p>
    <w:p w:rsidRPr="00927C3C" w:rsidR="003D6EC9" w:rsidP="009C5076" w:rsidRDefault="003D6EC9" w14:paraId="1C85C735" w14:textId="77777777">
      <w:pPr>
        <w:widowControl w:val="0"/>
        <w:numPr>
          <w:ilvl w:val="0"/>
          <w:numId w:val="14"/>
        </w:numPr>
        <w:spacing w:before="120" w:after="120" w:line="23" w:lineRule="atLeast"/>
        <w:ind w:left="322"/>
        <w:jc w:val="both"/>
        <w:rPr>
          <w:rFonts w:ascii="Calibri" w:hAnsi="Calibri" w:cs="Calibri"/>
        </w:rPr>
      </w:pPr>
      <w:r w:rsidRPr="000F6C1C">
        <w:rPr>
          <w:rFonts w:ascii="Calibri" w:hAnsi="Calibri" w:cs="Calibri"/>
        </w:rPr>
        <w:t xml:space="preserve">coerenza con i </w:t>
      </w:r>
      <w:r w:rsidRPr="00927C3C">
        <w:rPr>
          <w:rFonts w:ascii="Calibri" w:hAnsi="Calibri" w:cs="Calibri"/>
        </w:rPr>
        <w:t xml:space="preserve">criteri di selezione del Programma approvati dal </w:t>
      </w:r>
      <w:proofErr w:type="spellStart"/>
      <w:r w:rsidRPr="00927C3C">
        <w:rPr>
          <w:rFonts w:ascii="Calibri" w:hAnsi="Calibri" w:cs="Calibri"/>
        </w:rPr>
        <w:t>CdS</w:t>
      </w:r>
      <w:proofErr w:type="spellEnd"/>
      <w:r w:rsidRPr="00927C3C">
        <w:rPr>
          <w:rFonts w:ascii="Calibri" w:hAnsi="Calibri" w:cs="Calibri"/>
        </w:rPr>
        <w:t>.</w:t>
      </w:r>
    </w:p>
    <w:p w:rsidR="003A1671" w:rsidRDefault="003A1671" w14:paraId="0DF0F72D" w14:textId="1FAB3FA1">
      <w:pPr>
        <w:spacing w:after="160" w:line="259" w:lineRule="auto"/>
        <w:rPr>
          <w:rFonts w:ascii="Garamond" w:hAnsi="Garamond"/>
        </w:rPr>
      </w:pPr>
    </w:p>
    <w:p w:rsidRPr="00C3316E" w:rsidR="006B7125" w:rsidP="009C5076" w:rsidRDefault="00C3316E" w14:paraId="5AECB87D" w14:textId="7D75FD2E">
      <w:pPr>
        <w:pStyle w:val="Heading2"/>
        <w:numPr>
          <w:ilvl w:val="1"/>
          <w:numId w:val="45"/>
        </w:numPr>
        <w:rPr>
          <w:rFonts w:ascii="Calibri" w:hAnsi="Calibri" w:cs="Calibri"/>
          <w:b/>
          <w:bCs/>
          <w:color w:val="215E99" w:themeColor="text2" w:themeTint="BF"/>
          <w:sz w:val="28"/>
          <w:szCs w:val="28"/>
        </w:rPr>
      </w:pPr>
      <w:r>
        <w:rPr>
          <w:rFonts w:ascii="Calibri" w:hAnsi="Calibri" w:cs="Calibri"/>
          <w:b/>
          <w:bCs/>
          <w:color w:val="215E99" w:themeColor="text2" w:themeTint="BF"/>
          <w:sz w:val="28"/>
          <w:szCs w:val="28"/>
        </w:rPr>
        <w:t xml:space="preserve"> </w:t>
      </w:r>
      <w:r w:rsidRPr="52C5CEAB" w:rsidR="52C5CEAB">
        <w:rPr>
          <w:rFonts w:ascii="Calibri" w:hAnsi="Calibri" w:cs="Calibri"/>
          <w:b/>
          <w:bCs/>
          <w:color w:val="215E99" w:themeColor="text2" w:themeTint="BF"/>
          <w:sz w:val="28"/>
          <w:szCs w:val="28"/>
        </w:rPr>
        <w:t xml:space="preserve">  </w:t>
      </w:r>
      <w:bookmarkStart w:name="_Toc190354109" w:id="26"/>
      <w:r w:rsidRPr="52C5CEAB" w:rsidR="52C5CEAB">
        <w:rPr>
          <w:rFonts w:ascii="Calibri" w:hAnsi="Calibri" w:cs="Calibri"/>
          <w:b/>
          <w:bCs/>
          <w:color w:val="215E99" w:themeColor="text2" w:themeTint="BF"/>
          <w:sz w:val="28"/>
          <w:szCs w:val="28"/>
        </w:rPr>
        <w:t>Le verifiche in loco</w:t>
      </w:r>
      <w:bookmarkEnd w:id="26"/>
      <w:r w:rsidRPr="52C5CEAB" w:rsidR="52C5CEAB">
        <w:rPr>
          <w:rFonts w:ascii="Calibri" w:hAnsi="Calibri" w:cs="Calibri"/>
          <w:b/>
          <w:bCs/>
          <w:color w:val="215E99" w:themeColor="text2" w:themeTint="BF"/>
          <w:sz w:val="28"/>
          <w:szCs w:val="28"/>
        </w:rPr>
        <w:t xml:space="preserve"> </w:t>
      </w:r>
    </w:p>
    <w:p w:rsidRPr="006301E9" w:rsidR="0051536E" w:rsidP="35CD470B" w:rsidRDefault="35CD470B" w14:paraId="3C21BB73" w14:textId="44EB15A8">
      <w:pPr>
        <w:spacing w:before="120" w:after="120" w:line="276" w:lineRule="auto"/>
        <w:jc w:val="both"/>
        <w:rPr>
          <w:rFonts w:ascii="Calibri" w:hAnsi="Calibri" w:cs="Calibri"/>
        </w:rPr>
      </w:pPr>
      <w:r w:rsidRPr="35CD470B">
        <w:rPr>
          <w:rFonts w:ascii="Calibri" w:hAnsi="Calibri" w:cs="Calibri"/>
        </w:rPr>
        <w:t xml:space="preserve">Oltre alle verifiche desk, come parte del processo di controllo, vengono effettuati anche i controlli in loco. Questi ultimi hanno lo scopo di esaminare direttamente presso il Beneficiario aspetti che non possono essere verificati durante le verifiche desk. Nello specifico le verifiche in loco svolgono una funzione complementare rispetto alle verifiche amministrative e sono finalizzate a valutare i rischi legati alla concreta attuazione dell’operazione. Esse mirano, infatti, a verificare la realtà delle spese, la corretta fornitura di beni e servizi in conformità con i termini del progetto, i progressi fisici delle attività, il raggiungimento degli obiettivi definiti nel progetto e nell’avviso/bando di selezione, e il rispetto delle normative europee sulla pubblicità. Questi aspetti (e relativi rischi) non sono completamente coperti dalle verifiche amministrative. Il controllo in loco, così come le verifiche di gestione desk, avviene su base campionaria determinata secondo alcuni fattori di rischio che sono individuati tenendo conto di diversi elementi, tra cui anche le verifiche di audit sul Sistema di Gestione e Controllo. Nell’attuale Programmazione si potrebbe concretizzare la fattispecie in cui sia sottoposta a controllo in loco un’operazione non sottoposta a verifiche desk, in tal caso si procederà con una verifica amministrativa preventiva per avere una panoramica completa sull’operazione. </w:t>
      </w:r>
    </w:p>
    <w:p w:rsidR="006301E9" w:rsidP="35CD470B" w:rsidRDefault="35CD470B" w14:paraId="03B368FC" w14:textId="3B9D2C92">
      <w:pPr>
        <w:spacing w:before="120" w:after="120" w:line="276" w:lineRule="auto"/>
        <w:jc w:val="both"/>
        <w:rPr>
          <w:rFonts w:ascii="Calibri" w:hAnsi="Calibri" w:cs="Calibri"/>
        </w:rPr>
      </w:pPr>
      <w:r w:rsidRPr="35CD470B">
        <w:rPr>
          <w:rFonts w:ascii="Calibri" w:hAnsi="Calibri" w:cs="Calibri"/>
        </w:rPr>
        <w:t xml:space="preserve">Come precedentemente accennato, la fase operativa del controllo in loco si svolge attraverso un sopralluogo presso la sede del Beneficiario, selezionato tramite campionamento. Le attività di verifica durante questo sopralluogo dovranno riguardare: </w:t>
      </w:r>
    </w:p>
    <w:p w:rsidRPr="000066B0" w:rsidR="000066B0" w:rsidP="009C5076" w:rsidRDefault="35CD470B" w14:paraId="1B0E3872" w14:textId="455FAA1D">
      <w:pPr>
        <w:pStyle w:val="ListParagraph"/>
        <w:numPr>
          <w:ilvl w:val="0"/>
          <w:numId w:val="19"/>
        </w:numPr>
        <w:spacing w:before="120" w:after="120" w:line="276" w:lineRule="auto"/>
        <w:ind w:left="322"/>
        <w:jc w:val="both"/>
        <w:rPr>
          <w:rFonts w:ascii="Calibri" w:hAnsi="Calibri" w:cs="Calibri"/>
        </w:rPr>
      </w:pPr>
      <w:r w:rsidRPr="35CD470B">
        <w:rPr>
          <w:rFonts w:ascii="Calibri" w:hAnsi="Calibri" w:cs="Calibri"/>
        </w:rPr>
        <w:t xml:space="preserve">l’effettiva partecipazione del Beneficiario selezionato al Programma; </w:t>
      </w:r>
    </w:p>
    <w:p w:rsidRPr="000066B0" w:rsidR="000066B0" w:rsidP="009C5076" w:rsidRDefault="52C5CEAB" w14:paraId="66329C7F" w14:textId="378FE17A">
      <w:pPr>
        <w:pStyle w:val="ListParagraph"/>
        <w:numPr>
          <w:ilvl w:val="0"/>
          <w:numId w:val="19"/>
        </w:numPr>
        <w:spacing w:before="120" w:after="120" w:line="276" w:lineRule="auto"/>
        <w:ind w:left="322"/>
        <w:jc w:val="both"/>
        <w:rPr>
          <w:rFonts w:ascii="Calibri" w:hAnsi="Calibri" w:cs="Calibri"/>
        </w:rPr>
      </w:pPr>
      <w:r w:rsidRPr="52C5CEAB">
        <w:rPr>
          <w:rFonts w:ascii="Calibri" w:hAnsi="Calibri" w:cs="Calibri"/>
        </w:rPr>
        <w:t xml:space="preserve">la presenza di tutta la documentazione amministrativo-contabile originale, inclusa la documentazione giustificativa delle spese; </w:t>
      </w:r>
    </w:p>
    <w:p w:rsidR="000066B0" w:rsidP="009C5076" w:rsidRDefault="00FE4E6F" w14:paraId="5B1ADE2C" w14:textId="000219C9">
      <w:pPr>
        <w:pStyle w:val="ListParagraph"/>
        <w:numPr>
          <w:ilvl w:val="0"/>
          <w:numId w:val="19"/>
        </w:numPr>
        <w:spacing w:before="120" w:after="120" w:line="276" w:lineRule="auto"/>
        <w:ind w:left="322"/>
        <w:jc w:val="both"/>
        <w:rPr>
          <w:rFonts w:ascii="Calibri" w:hAnsi="Calibri" w:cs="Calibri"/>
          <w:szCs w:val="22"/>
        </w:rPr>
      </w:pPr>
      <w:r w:rsidRPr="000066B0">
        <w:rPr>
          <w:rFonts w:ascii="Calibri" w:hAnsi="Calibri" w:cs="Calibri"/>
          <w:szCs w:val="22"/>
        </w:rPr>
        <w:t>la tenuta di una contabilità separata per le spese sostenute nell’ambito dell’operazione cofinanziata dal Programma, al fine di prevenire il rischio di doppio finanziamento</w:t>
      </w:r>
      <w:r w:rsidRPr="000066B0" w:rsidR="00CC2D3E">
        <w:rPr>
          <w:rFonts w:ascii="Calibri" w:hAnsi="Calibri" w:cs="Calibri"/>
          <w:szCs w:val="22"/>
        </w:rPr>
        <w:t xml:space="preserve">; </w:t>
      </w:r>
    </w:p>
    <w:p w:rsidRPr="000066B0" w:rsidR="000066B0" w:rsidP="009C5076" w:rsidRDefault="35CD470B" w14:paraId="35C4000E" w14:textId="6EF42279">
      <w:pPr>
        <w:pStyle w:val="ListParagraph"/>
        <w:numPr>
          <w:ilvl w:val="0"/>
          <w:numId w:val="19"/>
        </w:numPr>
        <w:spacing w:before="120" w:after="120" w:line="276" w:lineRule="auto"/>
        <w:ind w:left="322"/>
        <w:jc w:val="both"/>
        <w:rPr>
          <w:rFonts w:ascii="Calibri" w:hAnsi="Calibri" w:cs="Calibri"/>
        </w:rPr>
      </w:pPr>
      <w:r w:rsidRPr="35CD470B">
        <w:rPr>
          <w:rFonts w:ascii="Calibri" w:hAnsi="Calibri" w:cs="Calibri"/>
        </w:rPr>
        <w:t xml:space="preserve">il corretto avanzamento o completamento dell’opera pubblica o della fornitura di beni e servizi oggetto del finanziamento, in conformità con la documentazione fornita dal Beneficiario a supporto della rendicontazione e della richiesta di erogazione del contributo; </w:t>
      </w:r>
    </w:p>
    <w:p w:rsidR="000066B0" w:rsidP="009C5076" w:rsidRDefault="001670BE" w14:paraId="29ED3EBA" w14:textId="26D0B3F4">
      <w:pPr>
        <w:pStyle w:val="ListParagraph"/>
        <w:numPr>
          <w:ilvl w:val="0"/>
          <w:numId w:val="19"/>
        </w:numPr>
        <w:spacing w:before="120" w:after="120" w:line="276" w:lineRule="auto"/>
        <w:ind w:left="322"/>
        <w:jc w:val="both"/>
        <w:rPr>
          <w:rFonts w:ascii="Calibri" w:hAnsi="Calibri" w:cs="Calibri"/>
          <w:szCs w:val="22"/>
        </w:rPr>
      </w:pPr>
      <w:r>
        <w:rPr>
          <w:rFonts w:ascii="Calibri" w:hAnsi="Calibri" w:cs="Calibri"/>
          <w:szCs w:val="22"/>
        </w:rPr>
        <w:t xml:space="preserve">la </w:t>
      </w:r>
      <w:r w:rsidRPr="000066B0" w:rsidR="00CC2D3E">
        <w:rPr>
          <w:rFonts w:ascii="Calibri" w:hAnsi="Calibri" w:cs="Calibri"/>
          <w:szCs w:val="22"/>
        </w:rPr>
        <w:t xml:space="preserve">conformità delle opere, dei beni o dei servizi cofinanziati con le disposizioni previste dalla normativa comunitaria e nazionale, dal Programma, dal bando di selezione dell’operazione e dalla convenzione o contratto stipulato; </w:t>
      </w:r>
    </w:p>
    <w:p w:rsidRPr="000066B0" w:rsidR="00CC2D3E" w:rsidP="009C5076" w:rsidRDefault="001670BE" w14:paraId="3BC5DD25" w14:textId="68969E1C">
      <w:pPr>
        <w:pStyle w:val="ListParagraph"/>
        <w:numPr>
          <w:ilvl w:val="0"/>
          <w:numId w:val="19"/>
        </w:numPr>
        <w:spacing w:before="120" w:after="120" w:line="276" w:lineRule="auto"/>
        <w:ind w:left="322"/>
        <w:jc w:val="both"/>
        <w:rPr>
          <w:rFonts w:ascii="Calibri" w:hAnsi="Calibri" w:cs="Calibri"/>
          <w:szCs w:val="22"/>
        </w:rPr>
      </w:pPr>
      <w:r>
        <w:rPr>
          <w:rFonts w:ascii="Calibri" w:hAnsi="Calibri" w:cs="Calibri"/>
          <w:szCs w:val="22"/>
        </w:rPr>
        <w:t>il</w:t>
      </w:r>
      <w:r w:rsidRPr="000066B0" w:rsidR="00CC2D3E">
        <w:rPr>
          <w:rFonts w:ascii="Calibri" w:hAnsi="Calibri" w:cs="Calibri"/>
          <w:szCs w:val="22"/>
        </w:rPr>
        <w:t xml:space="preserve"> rispetto degli obblighi di informazione e pubblicità</w:t>
      </w:r>
      <w:r w:rsidRPr="000066B0" w:rsidR="00697341">
        <w:rPr>
          <w:rFonts w:ascii="Calibri" w:hAnsi="Calibri" w:cs="Calibri"/>
          <w:szCs w:val="22"/>
        </w:rPr>
        <w:t xml:space="preserve">. </w:t>
      </w:r>
    </w:p>
    <w:p w:rsidRPr="006301E9" w:rsidR="00697341" w:rsidP="001F0EE1" w:rsidRDefault="00697341" w14:paraId="3BAE6D03" w14:textId="21C2697A">
      <w:pPr>
        <w:spacing w:before="120" w:after="120" w:line="276" w:lineRule="auto"/>
        <w:jc w:val="both"/>
        <w:rPr>
          <w:rFonts w:ascii="Calibri" w:hAnsi="Calibri" w:cs="Calibri"/>
        </w:rPr>
      </w:pPr>
      <w:r w:rsidRPr="006301E9">
        <w:rPr>
          <w:rFonts w:ascii="Calibri" w:hAnsi="Calibri" w:cs="Calibri"/>
        </w:rPr>
        <w:t xml:space="preserve">I controlli in loco vengono formalizzati attraverso la compilazione di </w:t>
      </w:r>
      <w:r w:rsidRPr="006301E9" w:rsidR="00515D31">
        <w:rPr>
          <w:rFonts w:ascii="Calibri" w:hAnsi="Calibri" w:cs="Calibri"/>
        </w:rPr>
        <w:t xml:space="preserve">apposite checklist e di </w:t>
      </w:r>
      <w:r w:rsidRPr="006301E9" w:rsidR="0057087E">
        <w:rPr>
          <w:rFonts w:ascii="Calibri" w:hAnsi="Calibri" w:cs="Calibri"/>
        </w:rPr>
        <w:t xml:space="preserve">un verbale </w:t>
      </w:r>
      <w:r w:rsidRPr="006301E9" w:rsidR="00515D31">
        <w:rPr>
          <w:rFonts w:ascii="Calibri" w:hAnsi="Calibri" w:cs="Calibri"/>
        </w:rPr>
        <w:t xml:space="preserve">di sopralluogo che attesti </w:t>
      </w:r>
      <w:r w:rsidRPr="006301E9" w:rsidR="00803B5C">
        <w:rPr>
          <w:rFonts w:ascii="Calibri" w:hAnsi="Calibri" w:cs="Calibri"/>
        </w:rPr>
        <w:t>lo svolgimento della verifica e ripo</w:t>
      </w:r>
      <w:r w:rsidR="00BA0422">
        <w:rPr>
          <w:rFonts w:ascii="Calibri" w:hAnsi="Calibri" w:cs="Calibri"/>
        </w:rPr>
        <w:t>r</w:t>
      </w:r>
      <w:r w:rsidRPr="006301E9" w:rsidR="00803B5C">
        <w:rPr>
          <w:rFonts w:ascii="Calibri" w:hAnsi="Calibri" w:cs="Calibri"/>
        </w:rPr>
        <w:t>ti le modalità</w:t>
      </w:r>
      <w:r w:rsidR="00EF255A">
        <w:rPr>
          <w:rFonts w:ascii="Calibri" w:hAnsi="Calibri" w:cs="Calibri"/>
        </w:rPr>
        <w:t>,</w:t>
      </w:r>
      <w:r w:rsidRPr="006301E9" w:rsidR="00803B5C">
        <w:rPr>
          <w:rFonts w:ascii="Calibri" w:hAnsi="Calibri" w:cs="Calibri"/>
        </w:rPr>
        <w:t xml:space="preserve"> la data e il luogo </w:t>
      </w:r>
      <w:r w:rsidRPr="006301E9" w:rsidR="008077B4">
        <w:rPr>
          <w:rFonts w:ascii="Calibri" w:hAnsi="Calibri" w:cs="Calibri"/>
        </w:rPr>
        <w:t xml:space="preserve">della verifica e </w:t>
      </w:r>
      <w:r w:rsidR="00EF255A">
        <w:rPr>
          <w:rFonts w:ascii="Calibri" w:hAnsi="Calibri" w:cs="Calibri"/>
        </w:rPr>
        <w:t>l’</w:t>
      </w:r>
      <w:r w:rsidRPr="006301E9" w:rsidR="008077B4">
        <w:rPr>
          <w:rFonts w:ascii="Calibri" w:hAnsi="Calibri" w:cs="Calibri"/>
        </w:rPr>
        <w:t>esito della stessa</w:t>
      </w:r>
      <w:r w:rsidRPr="006301E9" w:rsidR="0064548F">
        <w:rPr>
          <w:rFonts w:ascii="Calibri" w:hAnsi="Calibri" w:cs="Calibri"/>
        </w:rPr>
        <w:t>. Il verbale viene redatto dall’</w:t>
      </w:r>
      <w:r w:rsidRPr="006301E9" w:rsidR="00A57549">
        <w:rPr>
          <w:rFonts w:ascii="Calibri" w:hAnsi="Calibri" w:cs="Calibri"/>
        </w:rPr>
        <w:t xml:space="preserve">incaricato del controllo in loco ed è controfirmato dal soggetto </w:t>
      </w:r>
      <w:r w:rsidRPr="006301E9" w:rsidR="00586753">
        <w:rPr>
          <w:rFonts w:ascii="Calibri" w:hAnsi="Calibri" w:cs="Calibri"/>
        </w:rPr>
        <w:t xml:space="preserve">responsabile. Il verbale deve contenere il codice </w:t>
      </w:r>
      <w:r w:rsidRPr="006301E9" w:rsidR="00F55255">
        <w:rPr>
          <w:rFonts w:ascii="Calibri" w:hAnsi="Calibri" w:cs="Calibri"/>
        </w:rPr>
        <w:t>identificativo</w:t>
      </w:r>
      <w:r w:rsidRPr="006301E9" w:rsidR="00586753">
        <w:rPr>
          <w:rFonts w:ascii="Calibri" w:hAnsi="Calibri" w:cs="Calibri"/>
        </w:rPr>
        <w:t xml:space="preserve"> dell’operazione</w:t>
      </w:r>
      <w:r w:rsidRPr="006301E9" w:rsidR="005D54B3">
        <w:rPr>
          <w:rFonts w:ascii="Calibri" w:hAnsi="Calibri" w:cs="Calibri"/>
        </w:rPr>
        <w:t xml:space="preserve">, l’oggetto del controllo, </w:t>
      </w:r>
      <w:r w:rsidRPr="006301E9" w:rsidR="00F129E1">
        <w:rPr>
          <w:rFonts w:ascii="Calibri" w:hAnsi="Calibri" w:cs="Calibri"/>
        </w:rPr>
        <w:t xml:space="preserve">i soggetti presenti durante la verifica, </w:t>
      </w:r>
      <w:r w:rsidRPr="006301E9" w:rsidR="000C16BC">
        <w:rPr>
          <w:rFonts w:ascii="Calibri" w:hAnsi="Calibri" w:cs="Calibri"/>
        </w:rPr>
        <w:t>la copia della checklist compilata</w:t>
      </w:r>
      <w:r w:rsidRPr="006301E9" w:rsidR="00C3046A">
        <w:rPr>
          <w:rFonts w:ascii="Calibri" w:hAnsi="Calibri" w:cs="Calibri"/>
        </w:rPr>
        <w:t xml:space="preserve">, la sintesi delle risultanze e le firme dei soggetti presenti durante il controllo. </w:t>
      </w:r>
    </w:p>
    <w:p w:rsidRPr="006301E9" w:rsidR="003B6249" w:rsidP="001F0EE1" w:rsidRDefault="00364A16" w14:paraId="7B768885" w14:textId="4B28E6B1">
      <w:pPr>
        <w:spacing w:before="120" w:after="120" w:line="276" w:lineRule="auto"/>
        <w:jc w:val="both"/>
        <w:rPr>
          <w:rFonts w:ascii="Calibri" w:hAnsi="Calibri" w:cs="Calibri"/>
        </w:rPr>
      </w:pPr>
      <w:r w:rsidRPr="006301E9">
        <w:rPr>
          <w:rFonts w:ascii="Calibri" w:hAnsi="Calibri" w:cs="Calibri"/>
        </w:rPr>
        <w:t>In co</w:t>
      </w:r>
      <w:r w:rsidRPr="006301E9" w:rsidR="001D5976">
        <w:rPr>
          <w:rFonts w:ascii="Calibri" w:hAnsi="Calibri" w:cs="Calibri"/>
        </w:rPr>
        <w:t xml:space="preserve">ntinuità con </w:t>
      </w:r>
      <w:r w:rsidRPr="006301E9" w:rsidR="00201789">
        <w:rPr>
          <w:rFonts w:ascii="Calibri" w:hAnsi="Calibri" w:cs="Calibri"/>
        </w:rPr>
        <w:t>la pr</w:t>
      </w:r>
      <w:r w:rsidRPr="006301E9" w:rsidR="004C40F4">
        <w:rPr>
          <w:rFonts w:ascii="Calibri" w:hAnsi="Calibri" w:cs="Calibri"/>
        </w:rPr>
        <w:t xml:space="preserve">ecedente </w:t>
      </w:r>
      <w:r w:rsidRPr="006301E9" w:rsidR="00BD1608">
        <w:rPr>
          <w:rFonts w:ascii="Calibri" w:hAnsi="Calibri" w:cs="Calibri"/>
        </w:rPr>
        <w:t xml:space="preserve">Programmazione verranno </w:t>
      </w:r>
      <w:r w:rsidRPr="006301E9" w:rsidR="009B1973">
        <w:rPr>
          <w:rFonts w:ascii="Calibri" w:hAnsi="Calibri" w:cs="Calibri"/>
        </w:rPr>
        <w:t xml:space="preserve">effettuati dei controlli in loco </w:t>
      </w:r>
      <w:r w:rsidRPr="006301E9" w:rsidR="00AA022C">
        <w:rPr>
          <w:rFonts w:ascii="Calibri" w:hAnsi="Calibri" w:cs="Calibri"/>
        </w:rPr>
        <w:t>in merito al rispetto del</w:t>
      </w:r>
      <w:r w:rsidRPr="006301E9" w:rsidR="00946AD4">
        <w:rPr>
          <w:rFonts w:ascii="Calibri" w:hAnsi="Calibri" w:cs="Calibri"/>
        </w:rPr>
        <w:t>l</w:t>
      </w:r>
      <w:r w:rsidRPr="006301E9" w:rsidR="00C12EAB">
        <w:rPr>
          <w:rFonts w:ascii="Calibri" w:hAnsi="Calibri" w:cs="Calibri"/>
        </w:rPr>
        <w:t xml:space="preserve">’obbligo di </w:t>
      </w:r>
      <w:r w:rsidRPr="006301E9" w:rsidR="00946AD4">
        <w:rPr>
          <w:rFonts w:ascii="Calibri" w:hAnsi="Calibri" w:cs="Calibri"/>
        </w:rPr>
        <w:t xml:space="preserve">stabilità delle operazioni previsto </w:t>
      </w:r>
      <w:r w:rsidRPr="006301E9" w:rsidR="00CC4169">
        <w:rPr>
          <w:rFonts w:ascii="Calibri" w:hAnsi="Calibri" w:cs="Calibri"/>
        </w:rPr>
        <w:t>d</w:t>
      </w:r>
      <w:r w:rsidRPr="006301E9" w:rsidR="00946AD4">
        <w:rPr>
          <w:rFonts w:ascii="Calibri" w:hAnsi="Calibri" w:cs="Calibri"/>
        </w:rPr>
        <w:t>a</w:t>
      </w:r>
      <w:r w:rsidRPr="006301E9" w:rsidR="00CC4169">
        <w:rPr>
          <w:rFonts w:ascii="Calibri" w:hAnsi="Calibri" w:cs="Calibri"/>
        </w:rPr>
        <w:t>ll’art. 65 del Reg. (UE) 2021/1060</w:t>
      </w:r>
      <w:r w:rsidRPr="006301E9" w:rsidR="00C12EAB">
        <w:rPr>
          <w:rFonts w:ascii="Calibri" w:hAnsi="Calibri" w:cs="Calibri"/>
        </w:rPr>
        <w:t xml:space="preserve">, </w:t>
      </w:r>
      <w:r w:rsidRPr="006301E9" w:rsidR="00BF7110">
        <w:rPr>
          <w:rFonts w:ascii="Calibri" w:hAnsi="Calibri" w:cs="Calibri"/>
        </w:rPr>
        <w:t>s</w:t>
      </w:r>
      <w:r w:rsidRPr="006301E9" w:rsidR="00CC4169">
        <w:rPr>
          <w:rFonts w:ascii="Calibri" w:hAnsi="Calibri" w:cs="Calibri"/>
        </w:rPr>
        <w:t>e</w:t>
      </w:r>
      <w:r w:rsidRPr="006301E9" w:rsidR="00BF7110">
        <w:rPr>
          <w:rFonts w:ascii="Calibri" w:hAnsi="Calibri" w:cs="Calibri"/>
        </w:rPr>
        <w:t>condo le tempistiche imposte dal medesimo regolamento, ovvero n</w:t>
      </w:r>
      <w:r w:rsidRPr="00F94239" w:rsidR="00F94239">
        <w:rPr>
          <w:rFonts w:ascii="Calibri" w:hAnsi="Calibri" w:cs="Calibri"/>
        </w:rPr>
        <w:t>ei cinque anni successivi alla liquidazione del saldo al</w:t>
      </w:r>
      <w:r w:rsidRPr="006301E9" w:rsidR="009B1973">
        <w:rPr>
          <w:rFonts w:ascii="Calibri" w:hAnsi="Calibri" w:cs="Calibri"/>
        </w:rPr>
        <w:t xml:space="preserve"> </w:t>
      </w:r>
      <w:r w:rsidRPr="00F94239" w:rsidR="00F94239">
        <w:rPr>
          <w:rFonts w:ascii="Calibri" w:hAnsi="Calibri" w:cs="Calibri"/>
        </w:rPr>
        <w:t>beneficiario</w:t>
      </w:r>
      <w:r w:rsidRPr="006301E9" w:rsidR="003B6249">
        <w:rPr>
          <w:rFonts w:ascii="Calibri" w:hAnsi="Calibri" w:cs="Calibri"/>
        </w:rPr>
        <w:t>.</w:t>
      </w:r>
      <w:r w:rsidRPr="006301E9" w:rsidR="000D6CDF">
        <w:rPr>
          <w:rFonts w:ascii="Calibri" w:hAnsi="Calibri" w:cs="Calibri"/>
        </w:rPr>
        <w:t xml:space="preserve"> Così come per i controlli in loco sarà compilata un’apposita checklist e un verbale di sopralluogo.</w:t>
      </w:r>
    </w:p>
    <w:p w:rsidR="00C766DA" w:rsidP="00CD7CF8" w:rsidRDefault="00C766DA" w14:paraId="6284734E" w14:textId="77777777">
      <w:pPr>
        <w:spacing w:line="276" w:lineRule="auto"/>
        <w:jc w:val="both"/>
        <w:rPr>
          <w:rFonts w:ascii="Garamond" w:hAnsi="Garamond"/>
        </w:rPr>
      </w:pPr>
    </w:p>
    <w:p w:rsidRPr="004E4C32" w:rsidR="00C766DA" w:rsidP="009C5076" w:rsidRDefault="000135CA" w14:paraId="413AB12A" w14:textId="72647CEF">
      <w:pPr>
        <w:pStyle w:val="Heading2"/>
        <w:numPr>
          <w:ilvl w:val="1"/>
          <w:numId w:val="45"/>
        </w:numPr>
        <w:rPr>
          <w:rFonts w:ascii="Calibri" w:hAnsi="Calibri" w:cs="Calibri"/>
          <w:b/>
          <w:bCs/>
          <w:color w:val="215E99" w:themeColor="text2" w:themeTint="BF"/>
          <w:sz w:val="28"/>
          <w:szCs w:val="28"/>
        </w:rPr>
      </w:pPr>
      <w:r>
        <w:rPr>
          <w:rFonts w:ascii="Calibri" w:hAnsi="Calibri" w:cs="Calibri"/>
          <w:b/>
          <w:bCs/>
          <w:color w:val="215E99" w:themeColor="text2" w:themeTint="BF"/>
          <w:sz w:val="28"/>
          <w:szCs w:val="28"/>
        </w:rPr>
        <w:t xml:space="preserve"> </w:t>
      </w:r>
      <w:r w:rsidR="00C3316E">
        <w:rPr>
          <w:rFonts w:ascii="Calibri" w:hAnsi="Calibri" w:cs="Calibri"/>
          <w:b/>
          <w:bCs/>
          <w:color w:val="215E99" w:themeColor="text2" w:themeTint="BF"/>
          <w:sz w:val="28"/>
          <w:szCs w:val="28"/>
        </w:rPr>
        <w:t xml:space="preserve">  </w:t>
      </w:r>
      <w:bookmarkStart w:name="_Toc190354110" w:id="27"/>
      <w:r w:rsidRPr="52C5CEAB" w:rsidR="52C5CEAB">
        <w:rPr>
          <w:rFonts w:ascii="Calibri" w:hAnsi="Calibri" w:cs="Calibri"/>
          <w:b/>
          <w:bCs/>
          <w:color w:val="215E99" w:themeColor="text2" w:themeTint="BF"/>
          <w:sz w:val="28"/>
          <w:szCs w:val="28"/>
        </w:rPr>
        <w:t>Procedura di campionamento dei controlli amministrativi e in loco</w:t>
      </w:r>
      <w:bookmarkEnd w:id="27"/>
      <w:r w:rsidRPr="52C5CEAB" w:rsidR="52C5CEAB">
        <w:rPr>
          <w:rFonts w:ascii="Calibri" w:hAnsi="Calibri" w:cs="Calibri"/>
          <w:b/>
          <w:bCs/>
          <w:color w:val="215E99" w:themeColor="text2" w:themeTint="BF"/>
          <w:sz w:val="28"/>
          <w:szCs w:val="28"/>
        </w:rPr>
        <w:t xml:space="preserve"> </w:t>
      </w:r>
    </w:p>
    <w:p w:rsidRPr="00873A6C" w:rsidR="00152406" w:rsidP="00DB7539" w:rsidRDefault="35CD470B" w14:paraId="3CDAD70E" w14:textId="6C2177D4">
      <w:pPr>
        <w:spacing w:before="120" w:after="120" w:line="276" w:lineRule="auto"/>
        <w:jc w:val="both"/>
        <w:rPr>
          <w:rFonts w:ascii="Calibri" w:hAnsi="Calibri" w:cs="Calibri"/>
        </w:rPr>
      </w:pPr>
      <w:r w:rsidRPr="35CD470B">
        <w:rPr>
          <w:rFonts w:ascii="Calibri" w:hAnsi="Calibri" w:cs="Calibri"/>
        </w:rPr>
        <w:t>Nell’ambito della Programmazione 2021-2027, la Commissione Europea ha evidenziato la necessità di rafforzare il processo di semplificazione nella gestione dei fondi, garantendo al contempo l’integrità del bilancio dell’Unione Europea. Tale obiettivo è finalizzato a ridurre in modo significativo gli oneri amministrativi a carico dei Beneficiari, delle Autorità di Gestione e dei rispettivi Organismi Intermedi, migliorando al contempo l’affidabilità dei sistemi di gestione e controllo attraverso una concentrazione delle verifiche di gestione sulle aree identificate come maggiormente rischiose.</w:t>
      </w:r>
    </w:p>
    <w:p w:rsidRPr="00873A6C" w:rsidR="00152406" w:rsidP="35CD470B" w:rsidRDefault="35CD470B" w14:paraId="6A2362BD" w14:textId="206987FA">
      <w:pPr>
        <w:spacing w:before="240" w:after="240" w:line="276" w:lineRule="auto"/>
        <w:jc w:val="both"/>
        <w:rPr>
          <w:rFonts w:ascii="Calibri" w:hAnsi="Calibri" w:cs="Calibri"/>
        </w:rPr>
      </w:pPr>
      <w:r w:rsidRPr="35CD470B">
        <w:rPr>
          <w:rFonts w:ascii="Calibri" w:hAnsi="Calibri" w:cs="Calibri"/>
        </w:rPr>
        <w:t xml:space="preserve">La frequenza, la portata e la copertura delle verifiche di gestione devono essere proporzionate a una valutazione dei rischi preventivamente effettuata, considerando la tipologia delle operazioni, le caratteristiche dei Beneficiari e i risultati delle verifiche e degli audit precedenti. In tale contesto, il Regolamento (UE) 2021/1060 stabilisce, all’articolo 74, paragrafo 2, che le verifiche di gestione – comprendenti sia le verifiche amministrative, relative alle domande di rimborso presentate dai Beneficiari, sia le verifiche in loco delle operazioni – siano basate su una valutazione documentata dei rischi, proporzionata ai rischi identificati </w:t>
      </w:r>
      <w:r w:rsidRPr="35CD470B">
        <w:rPr>
          <w:rFonts w:ascii="Calibri" w:hAnsi="Calibri" w:cs="Calibri"/>
          <w:i/>
          <w:iCs/>
        </w:rPr>
        <w:t>ex ante</w:t>
      </w:r>
      <w:r w:rsidRPr="35CD470B">
        <w:rPr>
          <w:rFonts w:ascii="Calibri" w:hAnsi="Calibri" w:cs="Calibri"/>
        </w:rPr>
        <w:t xml:space="preserve">, che tiene conto delle analisi condotte dal Gruppo di lavoro  di valutazione dei rischi di frode (cfr. </w:t>
      </w:r>
      <w:r w:rsidRPr="35CD470B">
        <w:rPr>
          <w:rFonts w:ascii="Calibri" w:hAnsi="Calibri" w:eastAsia="Calibri" w:cs="Calibri"/>
        </w:rPr>
        <w:t xml:space="preserve">Allegato </w:t>
      </w:r>
      <w:proofErr w:type="spellStart"/>
      <w:r w:rsidRPr="35CD470B">
        <w:rPr>
          <w:rFonts w:ascii="Calibri" w:hAnsi="Calibri" w:eastAsia="Calibri" w:cs="Calibri"/>
        </w:rPr>
        <w:t>A_Descrizione</w:t>
      </w:r>
      <w:proofErr w:type="spellEnd"/>
      <w:r w:rsidRPr="35CD470B">
        <w:rPr>
          <w:rFonts w:ascii="Calibri" w:hAnsi="Calibri" w:eastAsia="Calibri" w:cs="Calibri"/>
        </w:rPr>
        <w:t xml:space="preserve"> Si.Ge.Co._v1.1) </w:t>
      </w:r>
      <w:r w:rsidRPr="35CD470B">
        <w:rPr>
          <w:rFonts w:ascii="Calibri" w:hAnsi="Calibri" w:cs="Calibri"/>
        </w:rPr>
        <w:t>e le eventuali segnalazioni di progetti a rischio frode derivanti dalla consultazione del sistema ARACHNE.</w:t>
      </w:r>
    </w:p>
    <w:p w:rsidRPr="00A20801" w:rsidR="00C766DA" w:rsidP="00DB7539" w:rsidRDefault="35CD470B" w14:paraId="11B0A692" w14:textId="0E86C28E">
      <w:pPr>
        <w:spacing w:before="120" w:after="120" w:line="276" w:lineRule="auto"/>
        <w:jc w:val="both"/>
        <w:rPr>
          <w:rFonts w:ascii="Calibri" w:hAnsi="Calibri" w:cs="Calibri"/>
        </w:rPr>
      </w:pPr>
      <w:r w:rsidRPr="35CD470B">
        <w:rPr>
          <w:rFonts w:ascii="Calibri" w:hAnsi="Calibri" w:cs="Calibri"/>
        </w:rPr>
        <w:t xml:space="preserve">La valutazione dei rischi costituisce, pertanto, uno strumento strategico per l’Autorità di Gestione, consentendo di individuare specifiche aree di controllo e di pianificare le verifiche in modo mirato ed efficiente. Inoltre, essa assicura che le verifiche siano eseguite prima della presentazione dei conti e con tempi compatibili con l’obbligo di garantire il pagamento al Beneficiario entro 80 giorni dalla presentazione della domanda di rimborso [articolo 74, paragrafo 1, lettera b), Regolamento (UE) 2021/1060]. </w:t>
      </w:r>
    </w:p>
    <w:p w:rsidRPr="00A20801" w:rsidR="00C766DA" w:rsidP="00DB7539" w:rsidRDefault="35CD470B" w14:paraId="40F2ED4E" w14:textId="165016DC">
      <w:pPr>
        <w:spacing w:before="120" w:after="120" w:line="276" w:lineRule="auto"/>
        <w:jc w:val="both"/>
        <w:rPr>
          <w:rFonts w:ascii="Calibri" w:hAnsi="Calibri" w:cs="Calibri"/>
        </w:rPr>
      </w:pPr>
      <w:r w:rsidRPr="35CD470B">
        <w:rPr>
          <w:rFonts w:ascii="Calibri" w:hAnsi="Calibri" w:cs="Calibri"/>
        </w:rPr>
        <w:t xml:space="preserve">In esito alla procedura di analisi dei rischi definita ex ante dall’AdG e in coerenza con quanto previsto dall’art. 74 comma 2 del Reg. (UE) 2021/1060, le verifiche di gestione saranno realizzate su base campionaria secondo una metodologia di campionamento adeguata alle specifiche caratteristiche dei singoli interventi e del contesto di riferimento, sia interno che esterno. </w:t>
      </w:r>
    </w:p>
    <w:p w:rsidRPr="00A20801" w:rsidR="00C766DA" w:rsidP="00DB7539" w:rsidRDefault="35CD470B" w14:paraId="4286A101" w14:textId="06A6C520">
      <w:pPr>
        <w:spacing w:before="120" w:after="120" w:line="276" w:lineRule="auto"/>
        <w:jc w:val="both"/>
        <w:rPr>
          <w:rFonts w:ascii="Calibri" w:hAnsi="Calibri" w:cs="Calibri"/>
        </w:rPr>
      </w:pPr>
      <w:r w:rsidRPr="35CD470B">
        <w:rPr>
          <w:rFonts w:ascii="Calibri" w:hAnsi="Calibri" w:cs="Calibri"/>
        </w:rPr>
        <w:t xml:space="preserve">Il metodo di campionamento si articola in due componenti principali: i criteri di campionamento (ad esempio, selezione con probabilità uguali o proporzionali alla dimensione) e la procedura di proiezione (o stima), che costituiscono il quadro di riferimento per il calcolo delle dimensioni del campione. </w:t>
      </w:r>
    </w:p>
    <w:p w:rsidRPr="00A20801" w:rsidR="00C766DA" w:rsidP="00DB7539" w:rsidRDefault="35CD470B" w14:paraId="41DB6AC5" w14:textId="49F49F96">
      <w:pPr>
        <w:spacing w:before="120" w:after="120" w:line="276" w:lineRule="auto"/>
        <w:jc w:val="both"/>
        <w:rPr>
          <w:rFonts w:ascii="Calibri" w:hAnsi="Calibri" w:cs="Calibri"/>
        </w:rPr>
      </w:pPr>
      <w:r w:rsidRPr="35CD470B">
        <w:rPr>
          <w:rFonts w:ascii="Calibri" w:hAnsi="Calibri" w:cs="Calibri"/>
        </w:rPr>
        <w:t>I metodi di campionamento si suddividono principalmente in statistici e non statistici. Un metodo di campionamento è considerato statistico quando soddisfa due requisiti fondamentali:</w:t>
      </w:r>
    </w:p>
    <w:p w:rsidRPr="00A20801" w:rsidR="00C766DA" w:rsidP="009C5076" w:rsidRDefault="35CD470B" w14:paraId="199BE561" w14:textId="35C95E27">
      <w:pPr>
        <w:numPr>
          <w:ilvl w:val="0"/>
          <w:numId w:val="33"/>
        </w:numPr>
        <w:spacing w:before="120" w:after="120" w:line="276" w:lineRule="auto"/>
        <w:ind w:left="426"/>
        <w:contextualSpacing/>
        <w:jc w:val="both"/>
        <w:rPr>
          <w:rFonts w:ascii="Calibri" w:hAnsi="Calibri" w:cs="Calibri"/>
        </w:rPr>
      </w:pPr>
      <w:r w:rsidRPr="35CD470B">
        <w:rPr>
          <w:rFonts w:ascii="Calibri" w:hAnsi="Calibri" w:cs="Calibri"/>
        </w:rPr>
        <w:t>la selezione casuale degli elementi del campione;</w:t>
      </w:r>
    </w:p>
    <w:p w:rsidRPr="00A20801" w:rsidR="00C766DA" w:rsidP="009C5076" w:rsidRDefault="35CD470B" w14:paraId="0CBB7D9A" w14:textId="3E2BC890">
      <w:pPr>
        <w:numPr>
          <w:ilvl w:val="0"/>
          <w:numId w:val="33"/>
        </w:numPr>
        <w:spacing w:before="120" w:after="120" w:line="276" w:lineRule="auto"/>
        <w:ind w:left="426"/>
        <w:contextualSpacing/>
        <w:jc w:val="both"/>
        <w:rPr>
          <w:rFonts w:ascii="Calibri" w:hAnsi="Calibri" w:cs="Calibri"/>
        </w:rPr>
      </w:pPr>
      <w:r w:rsidRPr="35CD470B">
        <w:rPr>
          <w:rFonts w:ascii="Calibri" w:hAnsi="Calibri" w:cs="Calibri"/>
        </w:rPr>
        <w:t>l'applicazione della teoria della probabilità per analizzare i risultati del campione, permettendo di misurare e controllare il rischio di campionamento, nonché la precisione attesa e ottenuta.</w:t>
      </w:r>
    </w:p>
    <w:p w:rsidRPr="00A20801" w:rsidR="00C766DA" w:rsidP="00DB7539" w:rsidRDefault="00C766DA" w14:paraId="0FCE3BBD" w14:textId="6554BE9C">
      <w:pPr>
        <w:spacing w:before="120" w:after="120" w:line="276" w:lineRule="auto"/>
        <w:jc w:val="both"/>
        <w:rPr>
          <w:rFonts w:ascii="Calibri" w:hAnsi="Calibri" w:cs="Calibri"/>
        </w:rPr>
      </w:pPr>
      <w:r w:rsidRPr="00A20801">
        <w:rPr>
          <w:rFonts w:ascii="Calibri" w:hAnsi="Calibri" w:cs="Calibri"/>
        </w:rPr>
        <w:t>I metodi di campionamento</w:t>
      </w:r>
      <w:r w:rsidR="00471140">
        <w:rPr>
          <w:rStyle w:val="FootnoteReference"/>
          <w:rFonts w:ascii="Calibri" w:hAnsi="Calibri" w:cs="Calibri"/>
        </w:rPr>
        <w:footnoteReference w:id="2"/>
      </w:r>
      <w:r w:rsidRPr="00A20801">
        <w:rPr>
          <w:rFonts w:ascii="Calibri" w:hAnsi="Calibri" w:cs="Calibri"/>
        </w:rPr>
        <w:t xml:space="preserve"> statistico permettono di selezionare un campione rappresentativo dell'intera popolazione. Il loro obiettivo principale è proiettare sulla popolazione, tramite estrapolazioni o stime, il valore di un parametro osservato nel campione. Questo consente di determinare se la popolazione presenti errori significativi e, in caso affermativo, di quantificare l'entità dell'errore rilevato.</w:t>
      </w:r>
    </w:p>
    <w:p w:rsidRPr="00A20801" w:rsidR="00C766DA" w:rsidP="00DB7539" w:rsidRDefault="35CD470B" w14:paraId="75D67D60" w14:textId="6B93E407">
      <w:pPr>
        <w:spacing w:before="120" w:after="120" w:line="276" w:lineRule="auto"/>
        <w:jc w:val="both"/>
        <w:rPr>
          <w:rFonts w:ascii="Calibri" w:hAnsi="Calibri" w:cs="Calibri"/>
        </w:rPr>
      </w:pPr>
      <w:r w:rsidRPr="35CD470B">
        <w:rPr>
          <w:rFonts w:ascii="Calibri" w:hAnsi="Calibri" w:cs="Calibri"/>
        </w:rPr>
        <w:t>Al contrario, il campionamento non statistico non permette di calcolare la precisione, non consente il controllo del rischio di revisione e non garantisce che il campione sia rappresentativo della popolazione. Di conseguenza, l'errore deve essere valutato in modo empirico. Questo tipo di selezione è considerato adeguato solo quando l'applicazione di un approccio statistico risulta impraticabile, ad esempio in presenza di popolazioni molto ridotte o campioni di dimensioni limitate.</w:t>
      </w:r>
    </w:p>
    <w:p w:rsidRPr="00A20801" w:rsidR="00C766DA" w:rsidP="00DB7539" w:rsidRDefault="35CD470B" w14:paraId="121A6582" w14:textId="0DC34D97">
      <w:pPr>
        <w:spacing w:before="120" w:after="120" w:line="276" w:lineRule="auto"/>
        <w:jc w:val="both"/>
        <w:rPr>
          <w:rFonts w:ascii="Calibri" w:hAnsi="Calibri" w:cs="Calibri"/>
        </w:rPr>
      </w:pPr>
      <w:r w:rsidRPr="35CD470B">
        <w:rPr>
          <w:rFonts w:ascii="Calibri" w:hAnsi="Calibri" w:cs="Calibri"/>
        </w:rPr>
        <w:t>Per la selezione delle operazioni da sottoporre a controllo, si applica prioritariamente il metodo del campionamento stratificato, che consente di ottenere stime generalmente più accurate rispetto ad altri metodi. Tale approccio si avvale di informazioni derivanti da variabili correlate a quelle oggetto di studio, permettendo di suddividere la popolazione di riferimento in gruppi omogenei (strati) con caratteristiche similari. La minore variabilità del carattere all’interno di ciascuno strato favorisce l’estrazione di un campione maggiormente rappresentativo delle peculiarità dello strato stesso. Ne consegue che il campione stratificato, costituito dall’unione dei campioni estratti dai diversi strati, garantisce stime più precise rispetto a un campione non stratificato di pari dimensione.</w:t>
      </w:r>
    </w:p>
    <w:p w:rsidRPr="00A20801" w:rsidR="00C766DA" w:rsidP="00DB7539" w:rsidRDefault="35CD470B" w14:paraId="19B4E2B4" w14:textId="00EF7BBC">
      <w:pPr>
        <w:spacing w:before="120" w:after="120" w:line="276" w:lineRule="auto"/>
        <w:jc w:val="both"/>
        <w:rPr>
          <w:rFonts w:ascii="Calibri" w:hAnsi="Calibri" w:cs="Calibri"/>
        </w:rPr>
      </w:pPr>
      <w:r w:rsidRPr="35CD470B">
        <w:rPr>
          <w:rFonts w:ascii="Calibri" w:hAnsi="Calibri" w:cs="Calibri"/>
        </w:rPr>
        <w:t>Le variabili che determinano il processo di stratificazione dell’universo campionario sono individuate attraverso una selezione ragionata, con l’obiettivo di rendere il campione il più possibile rappresentativo dell’intero universo delle operazioni approvate. L’estrazione casuale di un numero di unità da ciascuno strato, piuttosto che da un’unica popolazione aggregata, garantisce una rappresentatività adeguata a ciascuna sottopopolazione.</w:t>
      </w:r>
    </w:p>
    <w:p w:rsidRPr="00A20801" w:rsidR="00C766DA" w:rsidP="07B36634" w:rsidRDefault="000135CA" w14:paraId="4B69C8E4" w14:textId="39A5DC2F">
      <w:pPr>
        <w:spacing w:before="120" w:after="120" w:line="276" w:lineRule="auto"/>
        <w:jc w:val="both"/>
        <w:rPr>
          <w:rFonts w:ascii="Calibri" w:hAnsi="Calibri" w:cs="Calibri"/>
        </w:rPr>
      </w:pPr>
      <w:r>
        <w:rPr>
          <w:noProof/>
        </w:rPr>
        <mc:AlternateContent>
          <mc:Choice Requires="wps">
            <w:drawing>
              <wp:anchor distT="0" distB="0" distL="114300" distR="114300" simplePos="0" relativeHeight="251658244" behindDoc="0" locked="0" layoutInCell="1" allowOverlap="1" wp14:anchorId="2AFCDB41" wp14:editId="05BD1CAA">
                <wp:simplePos x="0" y="0"/>
                <wp:positionH relativeFrom="column">
                  <wp:posOffset>1096010</wp:posOffset>
                </wp:positionH>
                <wp:positionV relativeFrom="paragraph">
                  <wp:posOffset>2592705</wp:posOffset>
                </wp:positionV>
                <wp:extent cx="3340100" cy="635"/>
                <wp:effectExtent l="0" t="0" r="0" b="0"/>
                <wp:wrapTopAndBottom/>
                <wp:docPr id="2" name="Casella di testo 2"/>
                <wp:cNvGraphicFramePr/>
                <a:graphic xmlns:a="http://schemas.openxmlformats.org/drawingml/2006/main">
                  <a:graphicData uri="http://schemas.microsoft.com/office/word/2010/wordprocessingShape">
                    <wps:wsp>
                      <wps:cNvSpPr txBox="1"/>
                      <wps:spPr>
                        <a:xfrm>
                          <a:off x="0" y="0"/>
                          <a:ext cx="3340100" cy="635"/>
                        </a:xfrm>
                        <a:prstGeom prst="rect">
                          <a:avLst/>
                        </a:prstGeom>
                        <a:solidFill>
                          <a:prstClr val="white"/>
                        </a:solidFill>
                        <a:ln>
                          <a:noFill/>
                        </a:ln>
                      </wps:spPr>
                      <wps:txbx>
                        <w:txbxContent>
                          <w:p w:rsidRPr="000135CA" w:rsidR="000135CA" w:rsidP="000135CA" w:rsidRDefault="000135CA" w14:paraId="040238AB" w14:textId="3448A704">
                            <w:pPr>
                              <w:pStyle w:val="Caption"/>
                              <w:rPr>
                                <w:rFonts w:asciiTheme="majorHAnsi" w:hAnsiTheme="majorHAnsi"/>
                                <w:b/>
                                <w:i w:val="0"/>
                                <w:noProof/>
                                <w:sz w:val="20"/>
                                <w:szCs w:val="20"/>
                              </w:rPr>
                            </w:pPr>
                            <w:r w:rsidRPr="000135CA">
                              <w:rPr>
                                <w:rFonts w:asciiTheme="majorHAnsi" w:hAnsiTheme="majorHAnsi"/>
                                <w:b/>
                                <w:i w:val="0"/>
                                <w:sz w:val="20"/>
                                <w:szCs w:val="20"/>
                              </w:rPr>
                              <w:t xml:space="preserve">Figura </w:t>
                            </w:r>
                            <w:r w:rsidRPr="000135CA">
                              <w:rPr>
                                <w:rFonts w:asciiTheme="majorHAnsi" w:hAnsiTheme="majorHAnsi"/>
                                <w:b/>
                                <w:i w:val="0"/>
                                <w:sz w:val="20"/>
                                <w:szCs w:val="20"/>
                              </w:rPr>
                              <w:fldChar w:fldCharType="begin"/>
                            </w:r>
                            <w:r w:rsidRPr="000135CA">
                              <w:rPr>
                                <w:rFonts w:asciiTheme="majorHAnsi" w:hAnsiTheme="majorHAnsi"/>
                                <w:b/>
                                <w:i w:val="0"/>
                                <w:sz w:val="20"/>
                                <w:szCs w:val="20"/>
                              </w:rPr>
                              <w:instrText xml:space="preserve"> SEQ Figura \* ARABIC </w:instrText>
                            </w:r>
                            <w:r w:rsidRPr="000135CA">
                              <w:rPr>
                                <w:rFonts w:asciiTheme="majorHAnsi" w:hAnsiTheme="majorHAnsi"/>
                                <w:b/>
                                <w:i w:val="0"/>
                                <w:sz w:val="20"/>
                                <w:szCs w:val="20"/>
                              </w:rPr>
                              <w:fldChar w:fldCharType="separate"/>
                            </w:r>
                            <w:r w:rsidR="002B6B01">
                              <w:rPr>
                                <w:rFonts w:asciiTheme="majorHAnsi" w:hAnsiTheme="majorHAnsi"/>
                                <w:b/>
                                <w:i w:val="0"/>
                                <w:noProof/>
                                <w:sz w:val="20"/>
                                <w:szCs w:val="20"/>
                              </w:rPr>
                              <w:t>2</w:t>
                            </w:r>
                            <w:r w:rsidRPr="000135CA">
                              <w:rPr>
                                <w:rFonts w:asciiTheme="majorHAnsi" w:hAnsiTheme="majorHAnsi"/>
                                <w:b/>
                                <w:i w:val="0"/>
                                <w:sz w:val="20"/>
                                <w:szCs w:val="20"/>
                              </w:rPr>
                              <w:fldChar w:fldCharType="end"/>
                            </w:r>
                            <w:r w:rsidRPr="000135CA">
                              <w:rPr>
                                <w:rFonts w:asciiTheme="majorHAnsi" w:hAnsiTheme="majorHAnsi"/>
                                <w:b/>
                                <w:i w:val="0"/>
                                <w:sz w:val="20"/>
                                <w:szCs w:val="20"/>
                              </w:rPr>
                              <w:t xml:space="preserve"> - Flusso verifiche a campione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Casella di testo 2" style="position:absolute;left:0;text-align:left;margin-left:86.3pt;margin-top:204.15pt;width:263pt;height:.05pt;z-index:251658244;visibility:visible;mso-wrap-style:square;mso-wrap-distance-left:9pt;mso-wrap-distance-top:0;mso-wrap-distance-right:9pt;mso-wrap-distance-bottom:0;mso-position-horizontal:absolute;mso-position-horizontal-relative:text;mso-position-vertical:absolute;mso-position-vertical-relative:text;v-text-anchor:top" o:spid="_x0000_s102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" w14:anchorId="2AFCDB41">
                <v:textbox style="mso-fit-shape-to-text:t" inset="0,0,0,0">
                  <w:txbxContent>
                    <w:p w:rsidRPr="000135CA" w:rsidR="000135CA" w:rsidP="000135CA" w:rsidRDefault="000135CA" w14:paraId="040238AB" w14:textId="3448A704">
                      <w:pPr>
                        <w:pStyle w:val="Caption"/>
                        <w:rPr>
                          <w:rFonts w:asciiTheme="majorHAnsi" w:hAnsiTheme="majorHAnsi"/>
                          <w:b/>
                          <w:i w:val="0"/>
                          <w:noProof/>
                          <w:sz w:val="20"/>
                          <w:szCs w:val="20"/>
                        </w:rPr>
                      </w:pPr>
                      <w:r w:rsidRPr="000135CA">
                        <w:rPr>
                          <w:rFonts w:asciiTheme="majorHAnsi" w:hAnsiTheme="majorHAnsi"/>
                          <w:b/>
                          <w:i w:val="0"/>
                          <w:sz w:val="20"/>
                          <w:szCs w:val="20"/>
                        </w:rPr>
                        <w:t xml:space="preserve">Figura </w:t>
                      </w:r>
                      <w:r w:rsidRPr="000135CA">
                        <w:rPr>
                          <w:rFonts w:asciiTheme="majorHAnsi" w:hAnsiTheme="majorHAnsi"/>
                          <w:b/>
                          <w:i w:val="0"/>
                          <w:sz w:val="20"/>
                          <w:szCs w:val="20"/>
                        </w:rPr>
                        <w:fldChar w:fldCharType="begin"/>
                      </w:r>
                      <w:r w:rsidRPr="000135CA">
                        <w:rPr>
                          <w:rFonts w:asciiTheme="majorHAnsi" w:hAnsiTheme="majorHAnsi"/>
                          <w:b/>
                          <w:i w:val="0"/>
                          <w:sz w:val="20"/>
                          <w:szCs w:val="20"/>
                        </w:rPr>
                        <w:instrText xml:space="preserve"> SEQ Figura \* ARABIC </w:instrText>
                      </w:r>
                      <w:r w:rsidRPr="000135CA">
                        <w:rPr>
                          <w:rFonts w:asciiTheme="majorHAnsi" w:hAnsiTheme="majorHAnsi"/>
                          <w:b/>
                          <w:i w:val="0"/>
                          <w:sz w:val="20"/>
                          <w:szCs w:val="20"/>
                        </w:rPr>
                        <w:fldChar w:fldCharType="separate"/>
                      </w:r>
                      <w:r w:rsidR="002B6B01">
                        <w:rPr>
                          <w:rFonts w:asciiTheme="majorHAnsi" w:hAnsiTheme="majorHAnsi"/>
                          <w:b/>
                          <w:i w:val="0"/>
                          <w:noProof/>
                          <w:sz w:val="20"/>
                          <w:szCs w:val="20"/>
                        </w:rPr>
                        <w:t>2</w:t>
                      </w:r>
                      <w:r w:rsidRPr="000135CA">
                        <w:rPr>
                          <w:rFonts w:asciiTheme="majorHAnsi" w:hAnsiTheme="majorHAnsi"/>
                          <w:b/>
                          <w:i w:val="0"/>
                          <w:sz w:val="20"/>
                          <w:szCs w:val="20"/>
                        </w:rPr>
                        <w:fldChar w:fldCharType="end"/>
                      </w:r>
                      <w:r w:rsidRPr="000135CA">
                        <w:rPr>
                          <w:rFonts w:asciiTheme="majorHAnsi" w:hAnsiTheme="majorHAnsi"/>
                          <w:b/>
                          <w:i w:val="0"/>
                          <w:sz w:val="20"/>
                          <w:szCs w:val="20"/>
                        </w:rPr>
                        <w:t xml:space="preserve"> - Flusso verifiche a campione</w:t>
                      </w:r>
                    </w:p>
                  </w:txbxContent>
                </v:textbox>
                <w10:wrap type="topAndBottom"/>
              </v:shape>
            </w:pict>
          </mc:Fallback>
        </mc:AlternateContent>
      </w:r>
      <w:r w:rsidRPr="00270F7C" w:rsidR="00471140">
        <w:rPr>
          <w:rFonts w:ascii="Garamond" w:hAnsi="Garamond"/>
          <w:noProof/>
          <w:highlight w:val="yellow"/>
        </w:rPr>
        <w:drawing>
          <wp:anchor distT="0" distB="0" distL="114300" distR="114300" simplePos="0" relativeHeight="251658241" behindDoc="0" locked="0" layoutInCell="1" allowOverlap="1" wp14:anchorId="73E32C00" wp14:editId="565C3E5C">
            <wp:simplePos x="0" y="0"/>
            <wp:positionH relativeFrom="column">
              <wp:posOffset>1096010</wp:posOffset>
            </wp:positionH>
            <wp:positionV relativeFrom="paragraph">
              <wp:posOffset>862330</wp:posOffset>
            </wp:positionV>
            <wp:extent cx="3340100" cy="1673225"/>
            <wp:effectExtent l="0" t="0" r="0" b="3175"/>
            <wp:wrapTopAndBottom/>
            <wp:docPr id="742593086" name="Immagine 8" descr="Immagine che contiene testo, schermata, biglietto da visi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2593086" name="Immagine 8" descr="Immagine che contiene testo, schermata, biglietto da visita, Carattere&#10;&#10;Descrizione generata automaticament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340100" cy="1673225"/>
                    </a:xfrm>
                    <a:prstGeom prst="rect">
                      <a:avLst/>
                    </a:prstGeom>
                    <a:noFill/>
                  </pic:spPr>
                </pic:pic>
              </a:graphicData>
            </a:graphic>
            <wp14:sizeRelH relativeFrom="margin">
              <wp14:pctWidth>0</wp14:pctWidth>
            </wp14:sizeRelH>
            <wp14:sizeRelV relativeFrom="margin">
              <wp14:pctHeight>0</wp14:pctHeight>
            </wp14:sizeRelV>
          </wp:anchor>
        </w:drawing>
      </w:r>
      <w:r w:rsidRPr="00A20801" w:rsidR="37AEA918">
        <w:rPr>
          <w:rFonts w:ascii="Calibri" w:hAnsi="Calibri" w:cs="Calibri"/>
        </w:rPr>
        <w:t>Oltre alle estrazioni casuali, possono essere effettuate selezioni mirate, basate su particolari caratteristiche degli interventi (ad esempio, la tipologia dell’operazione o l’entità dell’investimento) oppure sugli esiti dei controlli pregressi.</w:t>
      </w:r>
    </w:p>
    <w:p w:rsidR="000135CA" w:rsidP="00DB7539" w:rsidRDefault="000135CA" w14:paraId="3B744A73" w14:textId="77777777">
      <w:pPr>
        <w:spacing w:before="120" w:after="120" w:line="276" w:lineRule="auto"/>
        <w:jc w:val="both"/>
        <w:rPr>
          <w:rFonts w:ascii="Calibri" w:hAnsi="Calibri" w:cs="Calibri"/>
        </w:rPr>
      </w:pPr>
    </w:p>
    <w:p w:rsidRPr="00A20801" w:rsidR="00C766DA" w:rsidP="00DB7539" w:rsidRDefault="00C766DA" w14:paraId="344CA0D4" w14:textId="27D3AE2D">
      <w:pPr>
        <w:spacing w:before="120" w:after="120" w:line="276" w:lineRule="auto"/>
        <w:jc w:val="both"/>
        <w:rPr>
          <w:rFonts w:ascii="Calibri" w:hAnsi="Calibri" w:cs="Calibri"/>
        </w:rPr>
      </w:pPr>
      <w:r w:rsidRPr="00A20801">
        <w:rPr>
          <w:rFonts w:ascii="Calibri" w:hAnsi="Calibri" w:cs="Calibri"/>
        </w:rPr>
        <w:t xml:space="preserve">L’analisi dei rischi sarà predisposta in relazione allo stato di avanzamento degli interventi prima dell’estrazione del campione da sottoporre a verifica in loco. A seguito di ogni estrazione, sarà redatto un verbale che descriva nel dettaglio la metodologia di campionamento adottata e includa l’elenco delle operazioni selezionate per le verifiche.  </w:t>
      </w:r>
    </w:p>
    <w:p w:rsidRPr="00A20801" w:rsidR="00C766DA" w:rsidP="00DB7539" w:rsidRDefault="00C766DA" w14:paraId="7AC2C239" w14:textId="77777777">
      <w:pPr>
        <w:spacing w:before="120" w:after="120" w:line="276" w:lineRule="auto"/>
        <w:jc w:val="both"/>
        <w:rPr>
          <w:rFonts w:ascii="Calibri" w:hAnsi="Calibri" w:cs="Calibri"/>
        </w:rPr>
      </w:pPr>
      <w:r w:rsidRPr="00A20801">
        <w:rPr>
          <w:rFonts w:ascii="Calibri" w:hAnsi="Calibri" w:cs="Calibri"/>
        </w:rPr>
        <w:t xml:space="preserve">Tutta la documentazione relativa all’analisi dei rischi e al campione estratto sarà conservata in formato elettronico per garantire la tracciabilità e la consultabilità.  </w:t>
      </w:r>
    </w:p>
    <w:p w:rsidRPr="00A20801" w:rsidR="00C766DA" w:rsidP="00DB7539" w:rsidRDefault="00C766DA" w14:paraId="1CA2036A" w14:textId="77777777">
      <w:pPr>
        <w:spacing w:before="120" w:after="120" w:line="276" w:lineRule="auto"/>
        <w:jc w:val="both"/>
        <w:rPr>
          <w:rFonts w:ascii="Calibri" w:hAnsi="Calibri" w:cs="Calibri"/>
        </w:rPr>
      </w:pPr>
      <w:r w:rsidRPr="00A20801">
        <w:rPr>
          <w:rFonts w:ascii="Calibri" w:hAnsi="Calibri" w:cs="Calibri"/>
        </w:rPr>
        <w:t>Sebbene le verifiche amministrative debbano includere un esame completo della documentazione giustificativa, in ragione della numerosità dei titoli di spesa, è ammesso procedere mediante il controllo di un campione, purché questo sia rappresentativo dell’intera domanda di rimborso. La selezione del campione può avvenire mediante criteri ragionati (ad esempio, includendo spese di importo uguale o superiore a una soglia predefinita) e/o attraverso procedura casuale.</w:t>
      </w:r>
    </w:p>
    <w:p w:rsidRPr="00A20801" w:rsidR="00C766DA" w:rsidP="00DB7539" w:rsidRDefault="00C766DA" w14:paraId="0E69B2FB" w14:textId="77777777">
      <w:pPr>
        <w:spacing w:before="120" w:after="120" w:line="276" w:lineRule="auto"/>
        <w:jc w:val="both"/>
        <w:rPr>
          <w:rFonts w:ascii="Calibri" w:hAnsi="Calibri" w:cs="Calibri"/>
        </w:rPr>
      </w:pPr>
      <w:r w:rsidRPr="00A20801">
        <w:rPr>
          <w:rFonts w:ascii="Calibri" w:hAnsi="Calibri" w:cs="Calibri"/>
        </w:rPr>
        <w:t>Qualora, nel corso delle verifiche, emergano irregolarità riconducibili a un medesimo gruppo di progetti, si provvederà a elevare il livello di rischio attribuito a tale gruppo, ampliando conseguentemente il numero delle operazioni da sottoporre a controllo. Tale misura è volta a determinare se le irregolarità riscontrate siano attribuibili a errori occasionali o sistemici. Inoltre, nel caso in cui si rilevino errori all’interno del campione analizzato, si raccomanda di estendere la portata del controllo concentrandosi sulle tipologie di spesa interessate. Qualora ulteriori verifiche evidenzino ulteriori anomalie, si procederà a controllare l’intera voce di spesa o, in alternativa, a proiettare l’errore riscontrato nel campione alla parte non verificata della popolazione.</w:t>
      </w:r>
    </w:p>
    <w:p w:rsidRPr="00A20801" w:rsidR="00C766DA" w:rsidP="00DB7539" w:rsidRDefault="00C766DA" w14:paraId="080406E0" w14:textId="0F6C3964">
      <w:pPr>
        <w:spacing w:before="120" w:after="120" w:line="276" w:lineRule="auto"/>
        <w:jc w:val="both"/>
        <w:rPr>
          <w:rFonts w:ascii="Calibri" w:hAnsi="Calibri" w:cs="Calibri"/>
        </w:rPr>
      </w:pPr>
      <w:r w:rsidRPr="00A20801">
        <w:rPr>
          <w:rFonts w:ascii="Calibri" w:hAnsi="Calibri" w:cs="Calibri"/>
        </w:rPr>
        <w:t>Nell’ambito delle verifiche basate sul campionamento, è obbligatoria la predisposizione di una “nota metodologica”, documento autonomo e preliminare rispetto alla checklist amministrativa, che deve includere almeno i seguenti elementi:</w:t>
      </w:r>
    </w:p>
    <w:p w:rsidRPr="00A20801" w:rsidR="00C766DA" w:rsidP="009C5076" w:rsidRDefault="00C766DA" w14:paraId="1D8881FD" w14:textId="77777777">
      <w:pPr>
        <w:numPr>
          <w:ilvl w:val="0"/>
          <w:numId w:val="34"/>
        </w:numPr>
        <w:spacing w:before="120" w:after="120" w:line="276" w:lineRule="auto"/>
        <w:ind w:left="567" w:hanging="567"/>
        <w:contextualSpacing/>
        <w:jc w:val="both"/>
        <w:rPr>
          <w:rFonts w:ascii="Calibri" w:hAnsi="Calibri" w:cs="Calibri"/>
        </w:rPr>
      </w:pPr>
      <w:r w:rsidRPr="00A20801">
        <w:rPr>
          <w:rFonts w:ascii="Calibri" w:hAnsi="Calibri" w:cs="Calibri"/>
        </w:rPr>
        <w:t>la metodologia adottata per determinare la dimensione campionaria (statistica o non statistica);</w:t>
      </w:r>
    </w:p>
    <w:p w:rsidRPr="00A20801" w:rsidR="00C766DA" w:rsidP="009C5076" w:rsidRDefault="35CD470B" w14:paraId="44900B65" w14:textId="4724B89A">
      <w:pPr>
        <w:numPr>
          <w:ilvl w:val="0"/>
          <w:numId w:val="34"/>
        </w:numPr>
        <w:spacing w:before="120" w:after="120" w:line="276" w:lineRule="auto"/>
        <w:ind w:left="567" w:hanging="567"/>
        <w:contextualSpacing/>
        <w:jc w:val="both"/>
        <w:rPr>
          <w:rFonts w:ascii="Calibri" w:hAnsi="Calibri" w:cs="Calibri"/>
        </w:rPr>
      </w:pPr>
      <w:r w:rsidRPr="35CD470B">
        <w:rPr>
          <w:rFonts w:ascii="Calibri" w:hAnsi="Calibri" w:cs="Calibri"/>
        </w:rPr>
        <w:t>il metodo di estrazione delle unità campionarie e, ove pertinente, la procedura per identificare uno strato esaustivo relativo agli "</w:t>
      </w:r>
      <w:r w:rsidRPr="35CD470B">
        <w:rPr>
          <w:rFonts w:ascii="Calibri" w:hAnsi="Calibri" w:cs="Calibri"/>
          <w:i/>
          <w:iCs/>
        </w:rPr>
        <w:t xml:space="preserve">high </w:t>
      </w:r>
      <w:proofErr w:type="spellStart"/>
      <w:r w:rsidRPr="35CD470B">
        <w:rPr>
          <w:rFonts w:ascii="Calibri" w:hAnsi="Calibri" w:cs="Calibri"/>
          <w:i/>
          <w:iCs/>
        </w:rPr>
        <w:t>value</w:t>
      </w:r>
      <w:proofErr w:type="spellEnd"/>
      <w:r w:rsidRPr="35CD470B">
        <w:rPr>
          <w:rFonts w:ascii="Calibri" w:hAnsi="Calibri" w:cs="Calibri"/>
        </w:rPr>
        <w:t>";</w:t>
      </w:r>
    </w:p>
    <w:p w:rsidRPr="00A20801" w:rsidR="00C766DA" w:rsidP="009C5076" w:rsidRDefault="35CD470B" w14:paraId="38F739F4" w14:textId="767A2565">
      <w:pPr>
        <w:numPr>
          <w:ilvl w:val="0"/>
          <w:numId w:val="34"/>
        </w:numPr>
        <w:spacing w:before="120" w:after="120" w:line="276" w:lineRule="auto"/>
        <w:ind w:left="567" w:hanging="567"/>
        <w:contextualSpacing/>
        <w:jc w:val="both"/>
        <w:rPr>
          <w:rFonts w:ascii="Calibri" w:hAnsi="Calibri" w:cs="Calibri"/>
        </w:rPr>
      </w:pPr>
      <w:r w:rsidRPr="35CD470B">
        <w:rPr>
          <w:rFonts w:ascii="Calibri" w:hAnsi="Calibri" w:cs="Calibri"/>
        </w:rPr>
        <w:t>la metodologia applicata per la proiezione dell’eventuale errore riscontrato nel campione, con dettagli specifici per ciascun metodo di estrazione selezionato.</w:t>
      </w:r>
    </w:p>
    <w:p w:rsidRPr="00C766DA" w:rsidR="00C766DA" w:rsidP="00794768" w:rsidRDefault="00C766DA" w14:paraId="7F7712D0" w14:textId="0295114F">
      <w:pPr>
        <w:spacing w:before="120" w:after="120" w:line="276" w:lineRule="auto"/>
        <w:jc w:val="both"/>
        <w:rPr>
          <w:rFonts w:ascii="Garamond" w:hAnsi="Garamond"/>
        </w:rPr>
      </w:pPr>
    </w:p>
    <w:p w:rsidRPr="004E4C32" w:rsidR="00966111" w:rsidP="009C5076" w:rsidRDefault="52C5CEAB" w14:paraId="7E75DFA5" w14:textId="11D39149">
      <w:pPr>
        <w:pStyle w:val="Heading2"/>
        <w:numPr>
          <w:ilvl w:val="1"/>
          <w:numId w:val="45"/>
        </w:numPr>
        <w:rPr>
          <w:rFonts w:ascii="Calibri" w:hAnsi="Calibri" w:cs="Calibri"/>
          <w:b/>
          <w:bCs/>
          <w:color w:val="215E99" w:themeColor="text2" w:themeTint="BF"/>
          <w:sz w:val="28"/>
          <w:szCs w:val="28"/>
        </w:rPr>
      </w:pPr>
      <w:r w:rsidRPr="52C5CEAB">
        <w:rPr>
          <w:rFonts w:ascii="Calibri" w:hAnsi="Calibri" w:cs="Calibri"/>
          <w:b/>
          <w:bCs/>
          <w:color w:val="215E99" w:themeColor="text2" w:themeTint="BF"/>
          <w:sz w:val="28"/>
          <w:szCs w:val="28"/>
        </w:rPr>
        <w:t xml:space="preserve">   </w:t>
      </w:r>
      <w:bookmarkStart w:name="_Toc190354111" w:id="28"/>
      <w:r w:rsidRPr="52C5CEAB">
        <w:rPr>
          <w:rFonts w:ascii="Calibri" w:hAnsi="Calibri" w:cs="Calibri"/>
          <w:b/>
          <w:bCs/>
          <w:color w:val="215E99" w:themeColor="text2" w:themeTint="BF"/>
          <w:sz w:val="28"/>
          <w:szCs w:val="28"/>
        </w:rPr>
        <w:t>Controlli sui progetti finanziati dal PN Cultura 2021 – 2027</w:t>
      </w:r>
      <w:bookmarkEnd w:id="28"/>
    </w:p>
    <w:p w:rsidRPr="00C5602A" w:rsidR="00C5602A" w:rsidP="00DB7539" w:rsidRDefault="00C5602A" w14:paraId="13902059" w14:textId="2566F5A3">
      <w:pPr>
        <w:spacing w:before="120" w:after="120" w:line="276" w:lineRule="auto"/>
        <w:jc w:val="both"/>
        <w:rPr>
          <w:rFonts w:ascii="Calibri" w:hAnsi="Calibri" w:cs="Calibri"/>
        </w:rPr>
      </w:pPr>
      <w:r w:rsidRPr="00C5602A">
        <w:rPr>
          <w:rFonts w:ascii="Calibri" w:hAnsi="Calibri" w:cs="Calibri"/>
        </w:rPr>
        <w:t xml:space="preserve">Nell'ambito del PN Cultura 2021-2027, l'Autorità di Gestione ha individuato due principali macrocategorie di interventi da autorizzare per la realizzazione degli obiettivi previsti dal </w:t>
      </w:r>
      <w:r>
        <w:rPr>
          <w:rFonts w:ascii="Calibri" w:hAnsi="Calibri" w:cs="Calibri"/>
        </w:rPr>
        <w:t>P</w:t>
      </w:r>
      <w:r w:rsidRPr="00C5602A">
        <w:rPr>
          <w:rFonts w:ascii="Calibri" w:hAnsi="Calibri" w:cs="Calibri"/>
        </w:rPr>
        <w:t>rogramma, con riferimento alle priorità strategiche e in linea con i fondi strutturali europei:</w:t>
      </w:r>
    </w:p>
    <w:p w:rsidR="35CD470B" w:rsidP="009C5076" w:rsidRDefault="35CD470B" w14:paraId="6775077B" w14:textId="5F6BC3DF">
      <w:pPr>
        <w:pStyle w:val="ListParagraph"/>
        <w:numPr>
          <w:ilvl w:val="0"/>
          <w:numId w:val="25"/>
        </w:numPr>
        <w:spacing w:before="120" w:after="120" w:line="276" w:lineRule="auto"/>
        <w:ind w:left="714" w:hanging="357"/>
        <w:jc w:val="both"/>
        <w:rPr>
          <w:rFonts w:ascii="Calibri" w:hAnsi="Calibri" w:eastAsia="Calibri" w:cs="Calibri"/>
          <w:color w:val="000000" w:themeColor="text1"/>
        </w:rPr>
      </w:pPr>
      <w:r w:rsidRPr="35CD470B">
        <w:rPr>
          <w:rFonts w:ascii="Calibri" w:hAnsi="Calibri" w:cs="Calibri"/>
          <w:b/>
          <w:bCs/>
          <w:color w:val="0070C0"/>
        </w:rPr>
        <w:t>operazioni “a regia”</w:t>
      </w:r>
      <w:r w:rsidRPr="35CD470B">
        <w:rPr>
          <w:rFonts w:ascii="Calibri" w:hAnsi="Calibri" w:eastAsia="Calibri" w:cs="Calibri"/>
          <w:color w:val="000000" w:themeColor="text1"/>
        </w:rPr>
        <w:t xml:space="preserve"> : vale a dire quelle per la cui attuazione è prevista l’individuazione, anche per il tramite procedura di evidenza pubblica, di uno o più soggetti beneficiari diversi dall’AdG/Amministrazione titolare, ciascuno dei quali risponderà della realizzazione dell’operazione e degli adempimenti amministrativi connessi con la relativa attuazione; All’occorrenza di operazioni attuate per il tramite di enti strumentali (c.d. “</w:t>
      </w:r>
      <w:r w:rsidRPr="35CD470B">
        <w:rPr>
          <w:rFonts w:ascii="Calibri" w:hAnsi="Calibri" w:eastAsia="Calibri" w:cs="Calibri"/>
          <w:i/>
          <w:iCs/>
          <w:color w:val="000000" w:themeColor="text1"/>
        </w:rPr>
        <w:t>In-house</w:t>
      </w:r>
      <w:r w:rsidRPr="35CD470B">
        <w:rPr>
          <w:rFonts w:ascii="Calibri" w:hAnsi="Calibri" w:eastAsia="Calibri" w:cs="Calibri"/>
          <w:color w:val="000000" w:themeColor="text1"/>
        </w:rPr>
        <w:t>”), ovvero  articolazioni centrali e periferiche del Ministero della Cultura, le stesse continueranno ad essere considerate “operazioni a regia”.</w:t>
      </w:r>
    </w:p>
    <w:p w:rsidR="35CD470B" w:rsidP="009C5076" w:rsidRDefault="35CD470B" w14:paraId="6A8954C8" w14:textId="5E6D3CFB">
      <w:pPr>
        <w:pStyle w:val="ListParagraph"/>
        <w:numPr>
          <w:ilvl w:val="0"/>
          <w:numId w:val="25"/>
        </w:numPr>
        <w:spacing w:before="120" w:after="120" w:line="276" w:lineRule="auto"/>
        <w:ind w:left="714" w:hanging="357"/>
        <w:jc w:val="both"/>
        <w:rPr>
          <w:rFonts w:ascii="Calibri" w:hAnsi="Calibri" w:eastAsia="Calibri" w:cs="Calibri"/>
          <w:color w:val="000000" w:themeColor="text1"/>
        </w:rPr>
      </w:pPr>
      <w:r w:rsidRPr="009750A4">
        <w:rPr>
          <w:rFonts w:ascii="Calibri" w:hAnsi="Calibri" w:cs="Calibri"/>
          <w:b/>
          <w:bCs/>
          <w:color w:val="0070C0"/>
        </w:rPr>
        <w:t>operazioni c.d. “a titolarità</w:t>
      </w:r>
      <w:r w:rsidRPr="35CD470B">
        <w:rPr>
          <w:rFonts w:asciiTheme="minorHAnsi" w:hAnsiTheme="minorHAnsi" w:eastAsiaTheme="minorEastAsia" w:cstheme="minorBidi"/>
          <w:b/>
          <w:bCs/>
          <w:color w:val="0070C0"/>
        </w:rPr>
        <w:t>”</w:t>
      </w:r>
      <w:r w:rsidRPr="35CD470B">
        <w:rPr>
          <w:rFonts w:ascii="Calibri" w:hAnsi="Calibri" w:eastAsia="Calibri" w:cs="Calibri"/>
          <w:color w:val="000000" w:themeColor="text1"/>
        </w:rPr>
        <w:t>: vale a dire quelle per le quali il Beneficiario coincide con l’AdG incaricata dell’avvio o dell’avvio e dell’attuazione dell’operazione medesima e degli adempimenti amministrativi accessori alla relativa attuazione: procedure di acquisto beni e servizi, selezione personale esterno, etc. e relativo monitoraggio e rendicontazione delle spese sostenute durante le fasi di attuazione.</w:t>
      </w:r>
    </w:p>
    <w:p w:rsidR="35CD470B" w:rsidP="009750A4" w:rsidRDefault="35CD470B" w14:paraId="56BC08BC" w14:textId="04345F35">
      <w:pPr>
        <w:spacing w:line="276" w:lineRule="auto"/>
        <w:jc w:val="both"/>
        <w:rPr>
          <w:rFonts w:ascii="Calibri" w:hAnsi="Calibri" w:eastAsia="Calibri" w:cs="Calibri"/>
          <w:color w:val="000000" w:themeColor="text1"/>
        </w:rPr>
      </w:pPr>
      <w:r w:rsidRPr="35CD470B">
        <w:rPr>
          <w:rFonts w:ascii="Calibri" w:hAnsi="Calibri" w:eastAsia="Calibri" w:cs="Calibri"/>
          <w:color w:val="000000" w:themeColor="text1"/>
        </w:rPr>
        <w:t xml:space="preserve">Le operazioni relative alle </w:t>
      </w:r>
      <w:r w:rsidRPr="35CD470B">
        <w:rPr>
          <w:rFonts w:ascii="Calibri" w:hAnsi="Calibri" w:eastAsia="Calibri" w:cs="Calibri"/>
          <w:b/>
          <w:bCs/>
          <w:color w:val="000000" w:themeColor="text1"/>
        </w:rPr>
        <w:t>azioni contenute nelle</w:t>
      </w:r>
      <w:r w:rsidRPr="35CD470B">
        <w:rPr>
          <w:rFonts w:ascii="Calibri" w:hAnsi="Calibri" w:eastAsia="Calibri" w:cs="Calibri"/>
          <w:color w:val="000000" w:themeColor="text1"/>
        </w:rPr>
        <w:t xml:space="preserve"> </w:t>
      </w:r>
      <w:r w:rsidRPr="35CD470B">
        <w:rPr>
          <w:rFonts w:ascii="Calibri" w:hAnsi="Calibri" w:eastAsia="Calibri" w:cs="Calibri"/>
          <w:b/>
          <w:bCs/>
          <w:color w:val="000000" w:themeColor="text1"/>
        </w:rPr>
        <w:t xml:space="preserve">priorità 1, 2 e 3 </w:t>
      </w:r>
      <w:r w:rsidRPr="35CD470B">
        <w:rPr>
          <w:rFonts w:ascii="Calibri" w:hAnsi="Calibri" w:eastAsia="Calibri" w:cs="Calibri"/>
          <w:color w:val="000000" w:themeColor="text1"/>
        </w:rPr>
        <w:t xml:space="preserve">del PN Cultura 2021-2027 attengono al macro-processo delle </w:t>
      </w:r>
      <w:r w:rsidRPr="35CD470B">
        <w:rPr>
          <w:rFonts w:ascii="Calibri" w:hAnsi="Calibri" w:eastAsia="Calibri" w:cs="Calibri"/>
          <w:b/>
          <w:bCs/>
          <w:color w:val="000000" w:themeColor="text1"/>
        </w:rPr>
        <w:t>operazioni a regia</w:t>
      </w:r>
      <w:r w:rsidRPr="35CD470B">
        <w:rPr>
          <w:rFonts w:ascii="Calibri" w:hAnsi="Calibri" w:eastAsia="Calibri" w:cs="Calibri"/>
          <w:color w:val="000000" w:themeColor="text1"/>
        </w:rPr>
        <w:t xml:space="preserve">, eccetto che per le operazioni aventi ad oggetto il </w:t>
      </w:r>
      <w:r w:rsidRPr="35CD470B">
        <w:rPr>
          <w:rFonts w:ascii="Calibri" w:hAnsi="Calibri" w:eastAsia="Calibri" w:cs="Calibri"/>
          <w:b/>
          <w:bCs/>
          <w:i/>
          <w:iCs/>
          <w:color w:val="000000" w:themeColor="text1"/>
        </w:rPr>
        <w:t>supporto tecnico-operativo per l’attuazione dell’azione 4.6.3</w:t>
      </w:r>
      <w:r w:rsidRPr="35CD470B">
        <w:rPr>
          <w:rFonts w:ascii="Calibri" w:hAnsi="Calibri" w:eastAsia="Calibri" w:cs="Calibri"/>
          <w:color w:val="000000" w:themeColor="text1"/>
        </w:rPr>
        <w:t xml:space="preserve">, nell’ambito della priorità 3, che, in analogia a quanto avviene per la </w:t>
      </w:r>
      <w:r w:rsidRPr="35CD470B">
        <w:rPr>
          <w:rFonts w:ascii="Calibri" w:hAnsi="Calibri" w:eastAsia="Calibri" w:cs="Calibri"/>
          <w:b/>
          <w:bCs/>
          <w:color w:val="000000" w:themeColor="text1"/>
        </w:rPr>
        <w:t>priorità Assistenza Tecnica</w:t>
      </w:r>
      <w:r w:rsidRPr="35CD470B">
        <w:rPr>
          <w:rFonts w:ascii="Calibri" w:hAnsi="Calibri" w:eastAsia="Calibri" w:cs="Calibri"/>
          <w:color w:val="000000" w:themeColor="text1"/>
        </w:rPr>
        <w:t xml:space="preserve">, sono considerate </w:t>
      </w:r>
      <w:r w:rsidRPr="35CD470B">
        <w:rPr>
          <w:rFonts w:ascii="Calibri" w:hAnsi="Calibri" w:eastAsia="Calibri" w:cs="Calibri"/>
          <w:b/>
          <w:bCs/>
          <w:color w:val="000000" w:themeColor="text1"/>
        </w:rPr>
        <w:t>operazioni a titolarità</w:t>
      </w:r>
      <w:r w:rsidRPr="35CD470B">
        <w:rPr>
          <w:rFonts w:ascii="Calibri" w:hAnsi="Calibri" w:eastAsia="Calibri" w:cs="Calibri"/>
          <w:color w:val="000000" w:themeColor="text1"/>
        </w:rPr>
        <w:t xml:space="preserve"> dell’Autorità di Gestione. </w:t>
      </w:r>
    </w:p>
    <w:p w:rsidR="35CD470B" w:rsidP="009750A4" w:rsidRDefault="35CD470B" w14:paraId="3BC47EDA" w14:textId="0D05B868">
      <w:pPr>
        <w:spacing w:line="276" w:lineRule="auto"/>
        <w:jc w:val="both"/>
        <w:rPr>
          <w:rFonts w:ascii="Calibri" w:hAnsi="Calibri" w:eastAsia="Calibri" w:cs="Calibri"/>
          <w:color w:val="000000" w:themeColor="text1"/>
        </w:rPr>
      </w:pPr>
      <w:r w:rsidRPr="35CD470B">
        <w:rPr>
          <w:rFonts w:ascii="Calibri" w:hAnsi="Calibri" w:eastAsia="Calibri" w:cs="Calibri"/>
          <w:color w:val="000000" w:themeColor="text1"/>
        </w:rPr>
        <w:t xml:space="preserve">Le operazioni possono essere selezionate, a titolo esemplificativo, attraverso le seguenti procedure, così come identificate nel </w:t>
      </w:r>
      <w:hyperlink r:id="rId19">
        <w:r w:rsidRPr="35CD470B">
          <w:rPr>
            <w:rStyle w:val="Hyperlink"/>
            <w:rFonts w:ascii="Calibri" w:hAnsi="Calibri" w:eastAsia="Calibri" w:cs="Calibri"/>
            <w:i/>
            <w:iCs/>
          </w:rPr>
          <w:t>Vademecum</w:t>
        </w:r>
        <w:r w:rsidRPr="35CD470B">
          <w:rPr>
            <w:rStyle w:val="Hyperlink"/>
            <w:rFonts w:ascii="Calibri" w:hAnsi="Calibri" w:eastAsia="Calibri" w:cs="Calibri"/>
          </w:rPr>
          <w:t xml:space="preserve"> Monitoraggio</w:t>
        </w:r>
      </w:hyperlink>
      <w:r w:rsidRPr="35CD470B">
        <w:rPr>
          <w:rFonts w:ascii="Calibri" w:hAnsi="Calibri" w:eastAsia="Calibri" w:cs="Calibri"/>
          <w:color w:val="000000" w:themeColor="text1"/>
        </w:rPr>
        <w:t xml:space="preserve"> elaborato dal MEF-RGS:</w:t>
      </w:r>
    </w:p>
    <w:p w:rsidR="35CD470B" w:rsidP="009750A4" w:rsidRDefault="35CD470B" w14:paraId="7CB08F41" w14:textId="0AADB544">
      <w:pPr>
        <w:pStyle w:val="ListParagraph"/>
        <w:numPr>
          <w:ilvl w:val="0"/>
          <w:numId w:val="1"/>
        </w:numPr>
        <w:spacing w:line="276" w:lineRule="auto"/>
        <w:jc w:val="both"/>
        <w:rPr>
          <w:rFonts w:ascii="Calibri" w:hAnsi="Calibri" w:eastAsia="Calibri" w:cs="Calibri"/>
          <w:color w:val="000000" w:themeColor="text1"/>
        </w:rPr>
      </w:pPr>
      <w:r w:rsidRPr="35CD470B">
        <w:rPr>
          <w:rFonts w:ascii="Calibri" w:hAnsi="Calibri" w:eastAsia="Calibri" w:cs="Calibri"/>
          <w:color w:val="000000" w:themeColor="text1"/>
        </w:rPr>
        <w:t>individuazione diretta nel programma;</w:t>
      </w:r>
    </w:p>
    <w:p w:rsidR="35CD470B" w:rsidP="009750A4" w:rsidRDefault="35CD470B" w14:paraId="62EFCB62" w14:textId="64DA38DB">
      <w:pPr>
        <w:pStyle w:val="ListParagraph"/>
        <w:numPr>
          <w:ilvl w:val="0"/>
          <w:numId w:val="1"/>
        </w:numPr>
        <w:spacing w:line="276" w:lineRule="auto"/>
        <w:jc w:val="both"/>
        <w:rPr>
          <w:rFonts w:ascii="Calibri" w:hAnsi="Calibri" w:eastAsia="Calibri" w:cs="Calibri"/>
          <w:color w:val="000000" w:themeColor="text1"/>
        </w:rPr>
      </w:pPr>
      <w:r w:rsidRPr="35CD470B">
        <w:rPr>
          <w:rFonts w:ascii="Calibri" w:hAnsi="Calibri" w:eastAsia="Calibri" w:cs="Calibri"/>
          <w:color w:val="000000" w:themeColor="text1"/>
        </w:rPr>
        <w:t>procedura in più fasi;</w:t>
      </w:r>
    </w:p>
    <w:p w:rsidR="35CD470B" w:rsidP="009750A4" w:rsidRDefault="35CD470B" w14:paraId="621BFD30" w14:textId="35CDE02E">
      <w:pPr>
        <w:pStyle w:val="ListParagraph"/>
        <w:numPr>
          <w:ilvl w:val="0"/>
          <w:numId w:val="1"/>
        </w:numPr>
        <w:spacing w:line="276" w:lineRule="auto"/>
        <w:jc w:val="both"/>
        <w:rPr>
          <w:rFonts w:ascii="Calibri" w:hAnsi="Calibri" w:eastAsia="Calibri" w:cs="Calibri"/>
          <w:color w:val="000000" w:themeColor="text1"/>
        </w:rPr>
      </w:pPr>
      <w:r w:rsidRPr="35CD470B">
        <w:rPr>
          <w:rFonts w:ascii="Calibri" w:hAnsi="Calibri" w:eastAsia="Calibri" w:cs="Calibri"/>
          <w:color w:val="000000" w:themeColor="text1"/>
        </w:rPr>
        <w:t>procedura competitiva;</w:t>
      </w:r>
    </w:p>
    <w:p w:rsidR="35CD470B" w:rsidP="009750A4" w:rsidRDefault="35CD470B" w14:paraId="4AFF1E91" w14:textId="0532FF49">
      <w:pPr>
        <w:pStyle w:val="ListParagraph"/>
        <w:numPr>
          <w:ilvl w:val="0"/>
          <w:numId w:val="1"/>
        </w:numPr>
        <w:spacing w:line="276" w:lineRule="auto"/>
        <w:jc w:val="both"/>
        <w:rPr>
          <w:rFonts w:ascii="Calibri" w:hAnsi="Calibri" w:eastAsia="Calibri" w:cs="Calibri"/>
          <w:color w:val="000000" w:themeColor="text1"/>
        </w:rPr>
      </w:pPr>
      <w:r w:rsidRPr="35CD470B">
        <w:rPr>
          <w:rFonts w:ascii="Calibri" w:hAnsi="Calibri" w:eastAsia="Calibri" w:cs="Calibri"/>
          <w:color w:val="000000" w:themeColor="text1"/>
        </w:rPr>
        <w:t>procedura a sportello;</w:t>
      </w:r>
    </w:p>
    <w:p w:rsidR="35CD470B" w:rsidP="009750A4" w:rsidRDefault="35CD470B" w14:paraId="2564F6CD" w14:textId="7815337F">
      <w:pPr>
        <w:pStyle w:val="ListParagraph"/>
        <w:numPr>
          <w:ilvl w:val="0"/>
          <w:numId w:val="1"/>
        </w:numPr>
        <w:spacing w:line="276" w:lineRule="auto"/>
        <w:jc w:val="both"/>
        <w:rPr>
          <w:rFonts w:ascii="Calibri" w:hAnsi="Calibri" w:eastAsia="Calibri" w:cs="Calibri"/>
          <w:color w:val="000000" w:themeColor="text1"/>
        </w:rPr>
      </w:pPr>
      <w:r w:rsidRPr="35CD470B">
        <w:rPr>
          <w:rFonts w:ascii="Calibri" w:hAnsi="Calibri" w:eastAsia="Calibri" w:cs="Calibri"/>
          <w:color w:val="000000" w:themeColor="text1"/>
        </w:rPr>
        <w:t>procedura negoziale;</w:t>
      </w:r>
    </w:p>
    <w:p w:rsidR="35CD470B" w:rsidP="009750A4" w:rsidRDefault="35CD470B" w14:paraId="1B3400E5" w14:textId="69AFB8A8">
      <w:pPr>
        <w:pStyle w:val="ListParagraph"/>
        <w:numPr>
          <w:ilvl w:val="0"/>
          <w:numId w:val="1"/>
        </w:numPr>
        <w:spacing w:line="276" w:lineRule="auto"/>
        <w:jc w:val="both"/>
        <w:rPr>
          <w:rFonts w:ascii="Calibri" w:hAnsi="Calibri" w:eastAsia="Calibri" w:cs="Calibri"/>
          <w:color w:val="000000" w:themeColor="text1"/>
        </w:rPr>
      </w:pPr>
      <w:r w:rsidRPr="35CD470B">
        <w:rPr>
          <w:rFonts w:ascii="Calibri" w:hAnsi="Calibri" w:eastAsia="Calibri" w:cs="Calibri"/>
          <w:color w:val="000000" w:themeColor="text1"/>
        </w:rPr>
        <w:t>procedura di co-progettazione con il terzo settore;</w:t>
      </w:r>
    </w:p>
    <w:p w:rsidR="35CD470B" w:rsidP="009750A4" w:rsidRDefault="35CD470B" w14:paraId="5FF42F79" w14:textId="223035A5">
      <w:pPr>
        <w:pStyle w:val="ListParagraph"/>
        <w:numPr>
          <w:ilvl w:val="0"/>
          <w:numId w:val="1"/>
        </w:numPr>
        <w:spacing w:line="276" w:lineRule="auto"/>
        <w:jc w:val="both"/>
        <w:rPr>
          <w:rFonts w:ascii="Calibri" w:hAnsi="Calibri" w:eastAsia="Calibri" w:cs="Calibri"/>
          <w:color w:val="000000" w:themeColor="text1"/>
        </w:rPr>
      </w:pPr>
      <w:r w:rsidRPr="35CD470B">
        <w:rPr>
          <w:rFonts w:ascii="Calibri" w:hAnsi="Calibri" w:eastAsia="Calibri" w:cs="Calibri"/>
          <w:color w:val="000000" w:themeColor="text1"/>
        </w:rPr>
        <w:t>individuazione a legislazione vigente.</w:t>
      </w:r>
    </w:p>
    <w:p w:rsidR="35CD470B" w:rsidP="009750A4" w:rsidRDefault="35CD470B" w14:paraId="18A277E6" w14:textId="69B465CA">
      <w:pPr>
        <w:spacing w:line="276" w:lineRule="auto"/>
        <w:jc w:val="both"/>
        <w:rPr>
          <w:rFonts w:ascii="Calibri" w:hAnsi="Calibri" w:eastAsia="Calibri" w:cs="Calibri"/>
          <w:color w:val="467886"/>
        </w:rPr>
      </w:pPr>
      <w:r w:rsidRPr="35CD470B">
        <w:rPr>
          <w:rFonts w:ascii="Calibri" w:hAnsi="Calibri" w:eastAsia="Calibri" w:cs="Calibri"/>
          <w:color w:val="000000" w:themeColor="text1"/>
        </w:rPr>
        <w:t xml:space="preserve">Per un elenco aggiornato delle operazioni selezionate, si rimanda la consultazione alla sezione dedicata del sito del PN Cultura 21-27, accessibile al seguente link: </w:t>
      </w:r>
      <w:hyperlink r:id="rId20">
        <w:r w:rsidRPr="35CD470B">
          <w:rPr>
            <w:rStyle w:val="Hyperlink"/>
            <w:rFonts w:ascii="Calibri" w:hAnsi="Calibri" w:eastAsia="Calibri" w:cs="Calibri"/>
          </w:rPr>
          <w:t>https://pncultura2127.cultura.gov.it/elenco-delle-operazioni/</w:t>
        </w:r>
      </w:hyperlink>
    </w:p>
    <w:p w:rsidR="35CD470B" w:rsidP="35CD470B" w:rsidRDefault="35CD470B" w14:paraId="630C2070" w14:textId="6E5BC76C">
      <w:pPr>
        <w:jc w:val="both"/>
        <w:rPr>
          <w:rFonts w:ascii="Calibri" w:hAnsi="Calibri" w:eastAsia="Calibri" w:cs="Calibri"/>
          <w:color w:val="000000" w:themeColor="text1"/>
        </w:rPr>
      </w:pPr>
    </w:p>
    <w:p w:rsidRPr="004E4C32" w:rsidR="00765E91" w:rsidP="009C5076" w:rsidRDefault="00C3316E" w14:paraId="06A358CD" w14:textId="426D6640">
      <w:pPr>
        <w:pStyle w:val="Heading2"/>
        <w:numPr>
          <w:ilvl w:val="1"/>
          <w:numId w:val="45"/>
        </w:numPr>
        <w:rPr>
          <w:rFonts w:ascii="Calibri" w:hAnsi="Calibri" w:cs="Calibri"/>
          <w:b/>
          <w:bCs/>
          <w:color w:val="215E99" w:themeColor="text2" w:themeTint="BF"/>
          <w:sz w:val="28"/>
          <w:szCs w:val="28"/>
        </w:rPr>
      </w:pPr>
      <w:r>
        <w:rPr>
          <w:rFonts w:ascii="Calibri" w:hAnsi="Calibri" w:cs="Calibri"/>
          <w:b/>
          <w:bCs/>
          <w:color w:val="215E99" w:themeColor="text2" w:themeTint="BF"/>
          <w:sz w:val="28"/>
          <w:szCs w:val="28"/>
        </w:rPr>
        <w:t xml:space="preserve"> </w:t>
      </w:r>
      <w:r w:rsidRPr="52C5CEAB" w:rsidR="52C5CEAB">
        <w:rPr>
          <w:rFonts w:ascii="Calibri" w:hAnsi="Calibri" w:cs="Calibri"/>
          <w:b/>
          <w:bCs/>
          <w:color w:val="215E99" w:themeColor="text2" w:themeTint="BF"/>
          <w:sz w:val="28"/>
          <w:szCs w:val="28"/>
        </w:rPr>
        <w:t xml:space="preserve">  </w:t>
      </w:r>
      <w:bookmarkStart w:name="_Toc190354112" w:id="29"/>
      <w:r w:rsidRPr="52C5CEAB" w:rsidR="52C5CEAB">
        <w:rPr>
          <w:rFonts w:ascii="Calibri" w:hAnsi="Calibri" w:cs="Calibri"/>
          <w:b/>
          <w:bCs/>
          <w:color w:val="215E99" w:themeColor="text2" w:themeTint="BF"/>
          <w:sz w:val="28"/>
          <w:szCs w:val="28"/>
        </w:rPr>
        <w:t>Azioni del PN Cultura 2021 – 2027</w:t>
      </w:r>
      <w:bookmarkEnd w:id="29"/>
    </w:p>
    <w:p w:rsidR="006B7F7F" w:rsidP="00DB7539" w:rsidRDefault="00BC5F70" w14:paraId="542B5822" w14:textId="03F0CACD">
      <w:pPr>
        <w:pStyle w:val="ListParagraph"/>
        <w:spacing w:before="120" w:after="120" w:line="276" w:lineRule="auto"/>
        <w:ind w:left="0"/>
        <w:jc w:val="both"/>
        <w:rPr>
          <w:rFonts w:ascii="Calibri" w:hAnsi="Calibri" w:cs="Calibri"/>
        </w:rPr>
      </w:pPr>
      <w:r w:rsidRPr="00BC5F70">
        <w:rPr>
          <w:rFonts w:ascii="Calibri" w:hAnsi="Calibri" w:cs="Calibri"/>
        </w:rPr>
        <w:t xml:space="preserve">Il Programma Nazionale Cultura 2021-2027 (PN Cultura 21-27) rappresenta uno strumento strategico per la valorizzazione, la tutela e lo sviluppo del patrimonio culturale italiano, con un’attenzione particolare alle regioni meno sviluppate. Il programma si articola attorno a tre priorità fondamentali: (1) </w:t>
      </w:r>
      <w:r w:rsidRPr="004178F2">
        <w:rPr>
          <w:rFonts w:ascii="Calibri" w:hAnsi="Calibri" w:cs="Calibri"/>
          <w:i/>
          <w:iCs/>
        </w:rPr>
        <w:t>“l’ampliamento dell’accesso al patrimonio culturale attraverso la digitalizzazione e il rafforzamento della competitività delle imprese creative</w:t>
      </w:r>
      <w:r>
        <w:rPr>
          <w:rFonts w:ascii="Calibri" w:hAnsi="Calibri" w:cs="Calibri"/>
        </w:rPr>
        <w:t>”</w:t>
      </w:r>
      <w:r w:rsidRPr="00BC5F70">
        <w:rPr>
          <w:rFonts w:ascii="Calibri" w:hAnsi="Calibri" w:cs="Calibri"/>
        </w:rPr>
        <w:t xml:space="preserve">; (2) </w:t>
      </w:r>
      <w:r>
        <w:rPr>
          <w:rFonts w:ascii="Calibri" w:hAnsi="Calibri" w:cs="Calibri"/>
        </w:rPr>
        <w:t>“</w:t>
      </w:r>
      <w:r w:rsidRPr="004178F2">
        <w:rPr>
          <w:rFonts w:ascii="Calibri" w:hAnsi="Calibri" w:cs="Calibri"/>
          <w:i/>
          <w:iCs/>
        </w:rPr>
        <w:t>l’efficientamento energetico e la riduzione dei rischi naturali nei luoghi della cultura</w:t>
      </w:r>
      <w:r>
        <w:rPr>
          <w:rFonts w:ascii="Calibri" w:hAnsi="Calibri" w:cs="Calibri"/>
          <w:i/>
          <w:iCs/>
        </w:rPr>
        <w:t>”</w:t>
      </w:r>
      <w:r w:rsidRPr="00BC5F70">
        <w:rPr>
          <w:rFonts w:ascii="Calibri" w:hAnsi="Calibri" w:cs="Calibri"/>
        </w:rPr>
        <w:t xml:space="preserve">; (3) </w:t>
      </w:r>
      <w:r w:rsidRPr="004178F2">
        <w:rPr>
          <w:rFonts w:ascii="Calibri" w:hAnsi="Calibri" w:cs="Calibri"/>
          <w:i/>
          <w:iCs/>
        </w:rPr>
        <w:t>“il potenziamento della partecipazione culturale e il rafforzamento dei servizi e delle iniziative per l’inclusione sociale”</w:t>
      </w:r>
      <w:r w:rsidRPr="00BC5F70">
        <w:rPr>
          <w:rFonts w:ascii="Calibri" w:hAnsi="Calibri" w:cs="Calibri"/>
        </w:rPr>
        <w:t>. A queste si affianca una priorità trasversale dedicata all’assistenza tecnica, per garantire l’efficace implementazione degli interventi. Nell’ambito di queste priorità, il PN Cultura 21-27 prevede un’ampia gamma di azioni strategiche volte a migliorare l’accessibilità, la sostenibilità e la competitività del settore culturale nazionale.</w:t>
      </w:r>
      <w:r>
        <w:rPr>
          <w:rFonts w:ascii="Calibri" w:hAnsi="Calibri" w:cs="Calibri"/>
        </w:rPr>
        <w:t xml:space="preserve"> Nello specifico:</w:t>
      </w:r>
    </w:p>
    <w:p w:rsidRPr="006B7F7F" w:rsidR="00A82898" w:rsidP="00F135A5" w:rsidRDefault="00A82898" w14:paraId="641061C2" w14:textId="77777777">
      <w:pPr>
        <w:pStyle w:val="ListParagraph"/>
        <w:spacing w:before="120" w:after="120" w:line="276" w:lineRule="auto"/>
        <w:ind w:left="714"/>
        <w:jc w:val="both"/>
        <w:rPr>
          <w:rFonts w:ascii="Calibri" w:hAnsi="Calibri" w:cs="Calibri"/>
        </w:rPr>
      </w:pPr>
    </w:p>
    <w:p w:rsidR="00F135A5" w:rsidP="009C5076" w:rsidRDefault="35CD470B" w14:paraId="19E6A0A5" w14:textId="77777777">
      <w:pPr>
        <w:pStyle w:val="ListParagraph"/>
        <w:numPr>
          <w:ilvl w:val="0"/>
          <w:numId w:val="27"/>
        </w:numPr>
        <w:spacing w:before="120" w:after="120" w:line="276" w:lineRule="auto"/>
        <w:ind w:left="426"/>
        <w:jc w:val="both"/>
        <w:rPr>
          <w:rFonts w:ascii="Calibri" w:hAnsi="Calibri" w:cs="Calibri"/>
          <w:b/>
          <w:bCs/>
          <w:color w:val="0070C0"/>
        </w:rPr>
      </w:pPr>
      <w:r w:rsidRPr="35CD470B">
        <w:rPr>
          <w:rFonts w:ascii="Calibri" w:hAnsi="Calibri" w:cs="Calibri"/>
          <w:b/>
          <w:bCs/>
          <w:color w:val="0070C0"/>
        </w:rPr>
        <w:t>Digitalizzazione e Innovazione (Azione 1.2.1 e Azione 1.3.1)</w:t>
      </w:r>
    </w:p>
    <w:p w:rsidRPr="00F135A5" w:rsidR="00A86B0F" w:rsidP="00F135A5" w:rsidRDefault="00A86B0F" w14:paraId="1FD45DA6" w14:textId="0DE80A7A">
      <w:pPr>
        <w:pStyle w:val="ListParagraph"/>
        <w:spacing w:before="120" w:after="120" w:line="276" w:lineRule="auto"/>
        <w:ind w:left="0"/>
        <w:jc w:val="both"/>
        <w:rPr>
          <w:rFonts w:ascii="Calibri" w:hAnsi="Calibri" w:cs="Calibri"/>
          <w:b/>
          <w:bCs/>
          <w:color w:val="0070C0"/>
        </w:rPr>
      </w:pPr>
      <w:r w:rsidRPr="00F135A5">
        <w:rPr>
          <w:rFonts w:ascii="Calibri" w:hAnsi="Calibri" w:cs="Calibri"/>
          <w:b/>
          <w:color w:val="0070C0"/>
        </w:rPr>
        <w:t>L’Azione 1.2.1</w:t>
      </w:r>
      <w:r w:rsidRPr="00F135A5">
        <w:rPr>
          <w:rFonts w:ascii="Calibri" w:hAnsi="Calibri" w:cs="Calibri"/>
        </w:rPr>
        <w:t xml:space="preserve"> è finalizzata alla creazione di un’infrastruttura digitale nazionale per la gestione automatizzata di servizi di biglietteria elettronica, e-booking e profilazione dell’utenza nei luoghi della cultura statali, con particolare attenzione a musei, aree archeologiche e biblioteche caratterizzati da minori risorse organizzative e gestionali. Questo sistema consentirà una gestione più efficiente dei flussi di visitatori, raccogliendo dati utili per l’analisi della domanda culturale e per la profilazione del pubblico, con l’obiettivo di ottimizzare l’accessibilità e il funzionamento delle strutture coinvolte. L’implementazione prevede, inoltre, l’installazione di tecnologie di controllo accessi, come tornelli digitalizzati e strumenti di monitoraggio avanzato, al fine di garantire un utilizzo efficace delle risorse e migliorare la sicurezza e la fruizione dei luoghi della cultura.</w:t>
      </w:r>
    </w:p>
    <w:p w:rsidRPr="009750A4" w:rsidR="00114802" w:rsidP="35CD470B" w:rsidRDefault="35CD470B" w14:paraId="49169141" w14:textId="3D94C823">
      <w:pPr>
        <w:spacing w:before="120" w:after="120" w:line="276" w:lineRule="auto"/>
        <w:jc w:val="both"/>
        <w:rPr>
          <w:rFonts w:ascii="Calibri" w:hAnsi="Calibri" w:cs="Calibri"/>
        </w:rPr>
      </w:pPr>
      <w:r w:rsidRPr="35CD470B">
        <w:rPr>
          <w:rFonts w:ascii="Calibri" w:hAnsi="Calibri" w:cs="Calibri"/>
        </w:rPr>
        <w:t xml:space="preserve">Affinché l’attuazione dell’azione sia conforme agli obiettivi strategici del PN Cultura 21-27 e alle normative di riferimento, è stato predisposto un sistema di controlli articolato lungo tutte le fasi del ciclo </w:t>
      </w:r>
      <w:r w:rsidRPr="009750A4">
        <w:rPr>
          <w:rFonts w:ascii="Calibri" w:hAnsi="Calibri" w:cs="Calibri"/>
        </w:rPr>
        <w:t>di vita dell’intervento. Trattandosi di un’operazione selezionata attraverso procedura negoziale, il primo livello di verifica riguarda la conformità della proposta progettuale ai criteri di ammissibilità e coerenza con gli obiettivi dell’azione. Una volta che l’operazione è stata ammessa a finanziamento, il controllo si estende alla formalizzazione dell’impegno di spesa, alla sottoscrizione del disciplinare e alla corretta attribuzione del CUP, garantendo</w:t>
      </w:r>
      <w:r w:rsidRPr="35CD470B">
        <w:rPr>
          <w:rFonts w:ascii="Calibri" w:hAnsi="Calibri" w:cs="Calibri"/>
        </w:rPr>
        <w:t xml:space="preserve"> che tutti i documenti ufficiali </w:t>
      </w:r>
      <w:r w:rsidRPr="009750A4">
        <w:rPr>
          <w:rFonts w:ascii="Calibri" w:hAnsi="Calibri" w:cs="Calibri"/>
        </w:rPr>
        <w:t>riportino in modo coerente i riferimenti identificativi dell’intervento.</w:t>
      </w:r>
    </w:p>
    <w:p w:rsidRPr="009750A4" w:rsidR="00114802" w:rsidP="00114802" w:rsidRDefault="35CD470B" w14:paraId="7B79C2F8" w14:textId="14791170">
      <w:pPr>
        <w:spacing w:before="120" w:after="120" w:line="276" w:lineRule="auto"/>
        <w:jc w:val="both"/>
        <w:rPr>
          <w:rFonts w:ascii="Calibri" w:hAnsi="Calibri" w:cs="Calibri"/>
        </w:rPr>
      </w:pPr>
      <w:r w:rsidRPr="009750A4">
        <w:rPr>
          <w:rFonts w:ascii="Calibri" w:hAnsi="Calibri" w:cs="Calibri"/>
        </w:rPr>
        <w:t xml:space="preserve">Successivamente, il controllo prosegue nella fase di acquisizione dei beni e servizi, con un’attenzione </w:t>
      </w:r>
      <w:r w:rsidRPr="00253B71">
        <w:rPr>
          <w:rFonts w:ascii="Calibri" w:hAnsi="Calibri" w:cs="Calibri"/>
        </w:rPr>
        <w:t>particolare alle procedure di selezione dei fornitori (gara d’appalto, adesione accordo quadro, affidamento diretto ecc.) e agli obblighi contrattu</w:t>
      </w:r>
      <w:r w:rsidRPr="009750A4">
        <w:rPr>
          <w:rFonts w:ascii="Calibri" w:hAnsi="Calibri" w:cs="Calibri"/>
        </w:rPr>
        <w:t>ali. Si verifica la regolarità della stazione appaltante e il rispetto delle normative sugli acquisti pubblici, compreso l’utilizzo degli strumenti di negoziazione previsti per gli enti pubblici. Particolare attenzione è dedicata alla tracciabilità delle procedure di affidamento, alla coerenza dei criteri di selezione dei fornitori e alla conformità degli appalti con i massimali di spesa previsti. La verifica si estende poi all’effettiva consegna delle forniture e installazione delle tecnologie previste, come i sistemi digitali di accesso e monitoraggio. In questo ambito, viene valutata l’aderenza tra il contratto e le specifiche tecniche dei beni e servizi acquistati, la qualità della fornitura e l’assenza di criticità nella fase esecutiva.</w:t>
      </w:r>
    </w:p>
    <w:p w:rsidR="00E32130" w:rsidP="00114802" w:rsidRDefault="35CD470B" w14:paraId="7BD361C1" w14:textId="55B7FA39">
      <w:pPr>
        <w:spacing w:before="120" w:after="120" w:line="276" w:lineRule="auto"/>
        <w:jc w:val="both"/>
        <w:rPr>
          <w:rFonts w:ascii="Calibri" w:hAnsi="Calibri" w:cs="Calibri"/>
        </w:rPr>
      </w:pPr>
      <w:r w:rsidRPr="79A12C26" w:rsidR="35CD470B">
        <w:rPr>
          <w:rFonts w:ascii="Calibri" w:hAnsi="Calibri" w:cs="Calibri"/>
        </w:rPr>
        <w:t xml:space="preserve">L’ultima fase di controllo riguarda la correttezza e l’ammissibilità delle spese sostenute nell’ambito dell’azione. Viene verificata la coerenza dei costi con le voci previste dal programma e il rispetto dei limiti di </w:t>
      </w:r>
      <w:r w:rsidRPr="79A12C26" w:rsidR="009750A4">
        <w:rPr>
          <w:rFonts w:ascii="Calibri" w:hAnsi="Calibri" w:cs="Calibri"/>
        </w:rPr>
        <w:t>spesa, stabiliti</w:t>
      </w:r>
      <w:r w:rsidRPr="79A12C26" w:rsidR="35CD470B">
        <w:rPr>
          <w:rFonts w:ascii="Calibri" w:hAnsi="Calibri" w:cs="Calibri"/>
        </w:rPr>
        <w:t xml:space="preserve"> nel disciplinare</w:t>
      </w:r>
      <w:r w:rsidRPr="79A12C26" w:rsidR="35CD470B">
        <w:rPr>
          <w:rFonts w:ascii="Calibri" w:hAnsi="Calibri" w:cs="Calibri"/>
        </w:rPr>
        <w:t xml:space="preserve">. </w:t>
      </w:r>
      <w:r w:rsidRPr="79A12C26" w:rsidR="35CD470B">
        <w:rPr>
          <w:rFonts w:ascii="Calibri" w:hAnsi="Calibri" w:cs="Calibri"/>
        </w:rPr>
        <w:t xml:space="preserve"> </w:t>
      </w:r>
      <w:r w:rsidRPr="79A12C26" w:rsidR="35CD470B">
        <w:rPr>
          <w:rFonts w:ascii="Calibri" w:hAnsi="Calibri" w:cs="Calibri"/>
        </w:rPr>
        <w:t>Un aspetto fondamentale del processo di verifica è l’analisi della documentazione contabile: le fatture devono</w:t>
      </w:r>
      <w:r w:rsidRPr="79A12C26" w:rsidR="35CD470B">
        <w:rPr>
          <w:rFonts w:ascii="Calibri" w:hAnsi="Calibri" w:cs="Calibri"/>
        </w:rPr>
        <w:t xml:space="preserve"> riportare correttamente il riferimento al CUP e al CIG, laddove previsto, essere emesse nel periodo di eleggibilità della spesa e rispettare la normativa fiscale e civilistica vigente. Inoltre, vengono controllati gli estremi bancari per garantire la tracciabilità dei pagamenti e verificato l’effettivo versamento dell’IVA da parte del Beneficiario. Infine, si accerta che siano stati rispettati gli obblighi di pubblicità e trasparenza, assicurando che i Beneficiari abbiano adottato tutte le misure informative previste, come l’apposizione di targhe, loghi e cartellonistica conforme alle direttive di comunicazione del Programma.</w:t>
      </w:r>
    </w:p>
    <w:p w:rsidRPr="006B7F7F" w:rsidR="007C38F3" w:rsidP="00114802" w:rsidRDefault="007C38F3" w14:paraId="3E6020E2" w14:textId="77777777">
      <w:pPr>
        <w:spacing w:before="120" w:after="120" w:line="276" w:lineRule="auto"/>
        <w:jc w:val="both"/>
        <w:rPr>
          <w:rFonts w:ascii="Calibri" w:hAnsi="Calibri" w:cs="Calibri"/>
        </w:rPr>
      </w:pPr>
    </w:p>
    <w:p w:rsidRPr="00114802" w:rsidR="006B7F7F" w:rsidP="009C5076" w:rsidRDefault="006B7F7F" w14:paraId="5B8EDA00" w14:textId="4847EFE5">
      <w:pPr>
        <w:pStyle w:val="ListParagraph"/>
        <w:numPr>
          <w:ilvl w:val="0"/>
          <w:numId w:val="27"/>
        </w:numPr>
        <w:spacing w:before="120" w:after="240"/>
        <w:ind w:left="284" w:hanging="284"/>
        <w:jc w:val="both"/>
        <w:rPr>
          <w:rFonts w:ascii="Calibri" w:hAnsi="Calibri" w:cs="Calibri"/>
          <w:b/>
          <w:bCs/>
          <w:color w:val="0070C0"/>
        </w:rPr>
      </w:pPr>
      <w:r w:rsidRPr="00114802">
        <w:rPr>
          <w:rFonts w:ascii="Calibri" w:hAnsi="Calibri" w:cs="Calibri"/>
          <w:b/>
          <w:bCs/>
          <w:color w:val="0070C0"/>
        </w:rPr>
        <w:t>Efficientamento Energetico e Sicurezza del Patrimonio Culturale (Azione 2.1.1, 2.1.2, 2.4.1, 2.4.2, 2.4.3)</w:t>
      </w:r>
    </w:p>
    <w:p w:rsidRPr="00114802" w:rsidR="00A9694A" w:rsidP="00114802" w:rsidRDefault="35CD470B" w14:paraId="4B592B76" w14:textId="01C2B004">
      <w:pPr>
        <w:pStyle w:val="ListParagraph"/>
        <w:spacing w:before="120" w:after="120" w:line="276" w:lineRule="auto"/>
        <w:ind w:left="0"/>
        <w:jc w:val="both"/>
        <w:rPr>
          <w:rFonts w:ascii="Calibri" w:hAnsi="Calibri" w:cs="Calibri"/>
        </w:rPr>
      </w:pPr>
      <w:r w:rsidRPr="35CD470B">
        <w:rPr>
          <w:rFonts w:ascii="Calibri" w:hAnsi="Calibri" w:cs="Calibri"/>
        </w:rPr>
        <w:t>La riqualificazione energetica e la sicurezza strutturale dei luoghi della cultura rappresentano un obiettivo strategico del PN Cultura 2021-2027, finalizzato alla riduzione delle emissioni di gas serra, all’ottimizzazione dei consumi energetici e alla mitigazione dei rischi sismici e ambientali. In questa prospettiva, sono stati definiti interventi specifici per migliorare l’efficienza e la resilienza delle strutture culturali, tra cui:</w:t>
      </w:r>
    </w:p>
    <w:p w:rsidR="35CD470B" w:rsidP="35CD470B" w:rsidRDefault="35CD470B" w14:paraId="3DDDB018" w14:textId="7FF7B3E1">
      <w:pPr>
        <w:pStyle w:val="ListParagraph"/>
        <w:spacing w:before="120" w:after="120" w:line="276" w:lineRule="auto"/>
        <w:ind w:left="0"/>
        <w:jc w:val="both"/>
        <w:rPr>
          <w:rFonts w:ascii="Calibri" w:hAnsi="Calibri" w:cs="Calibri"/>
        </w:rPr>
      </w:pPr>
    </w:p>
    <w:p w:rsidRPr="004D1768" w:rsidR="004D1768" w:rsidP="009C5076" w:rsidRDefault="35CD470B" w14:paraId="3EE6D9D7" w14:textId="223278EE">
      <w:pPr>
        <w:pStyle w:val="ListParagraph"/>
        <w:numPr>
          <w:ilvl w:val="0"/>
          <w:numId w:val="30"/>
        </w:numPr>
        <w:spacing w:before="120" w:after="120" w:line="276" w:lineRule="auto"/>
        <w:ind w:left="284" w:hanging="284"/>
        <w:jc w:val="both"/>
        <w:rPr>
          <w:rFonts w:ascii="Calibri" w:hAnsi="Calibri" w:cs="Calibri"/>
        </w:rPr>
      </w:pPr>
      <w:r w:rsidRPr="35CD470B">
        <w:rPr>
          <w:rFonts w:ascii="Calibri" w:hAnsi="Calibri" w:cs="Calibri"/>
          <w:b/>
          <w:bCs/>
          <w:color w:val="0070C0"/>
        </w:rPr>
        <w:t>l’Azione 2.1.1,</w:t>
      </w:r>
      <w:r w:rsidRPr="35CD470B">
        <w:rPr>
          <w:rFonts w:ascii="Calibri" w:hAnsi="Calibri" w:cs="Calibri"/>
        </w:rPr>
        <w:t xml:space="preserve"> volta alla riqualificazione energetica di musei, archivi e biblioteche, attraverso interventi di coibentazione edilizia, aggiornamento impiantistico e digitalizzazione della gestione energetica, con l’introduzione di sistemi di controllo intelligente dei consumi.</w:t>
      </w:r>
    </w:p>
    <w:p w:rsidRPr="004D1768" w:rsidR="004D1768" w:rsidP="009C5076" w:rsidRDefault="35CD470B" w14:paraId="393FDC75" w14:textId="529671E7">
      <w:pPr>
        <w:pStyle w:val="ListParagraph"/>
        <w:numPr>
          <w:ilvl w:val="0"/>
          <w:numId w:val="30"/>
        </w:numPr>
        <w:spacing w:before="120" w:after="120" w:line="276" w:lineRule="auto"/>
        <w:ind w:left="284" w:hanging="284"/>
        <w:jc w:val="both"/>
        <w:rPr>
          <w:rFonts w:ascii="Calibri" w:hAnsi="Calibri" w:cs="Calibri"/>
        </w:rPr>
      </w:pPr>
      <w:r w:rsidRPr="35CD470B">
        <w:rPr>
          <w:rFonts w:ascii="Calibri" w:hAnsi="Calibri" w:cs="Calibri"/>
          <w:b/>
          <w:bCs/>
          <w:color w:val="0070C0"/>
        </w:rPr>
        <w:t>l’Azione 2.1.2</w:t>
      </w:r>
      <w:r w:rsidRPr="35CD470B">
        <w:rPr>
          <w:rFonts w:ascii="Calibri" w:hAnsi="Calibri" w:cs="Calibri"/>
        </w:rPr>
        <w:t>, che prevede l’attivazione di cantieri pilota per l’adeguamento energetico di grandi complessi monumentali, garantendo una riduzione delle emissioni di almeno il 30% rispetto ai livelli precedenti e favorendo l’integrazione con fonti di energia rinnovabile.</w:t>
      </w:r>
    </w:p>
    <w:p w:rsidRPr="004D1768" w:rsidR="004D1768" w:rsidP="009C5076" w:rsidRDefault="35CD470B" w14:paraId="61F935B1" w14:textId="1B7AE634">
      <w:pPr>
        <w:pStyle w:val="ListParagraph"/>
        <w:numPr>
          <w:ilvl w:val="0"/>
          <w:numId w:val="30"/>
        </w:numPr>
        <w:spacing w:before="120" w:after="120" w:line="276" w:lineRule="auto"/>
        <w:ind w:left="284" w:hanging="284"/>
        <w:jc w:val="both"/>
        <w:rPr>
          <w:rFonts w:ascii="Calibri" w:hAnsi="Calibri" w:cs="Calibri"/>
        </w:rPr>
      </w:pPr>
      <w:r w:rsidRPr="35CD470B">
        <w:rPr>
          <w:rFonts w:ascii="Calibri" w:hAnsi="Calibri" w:cs="Calibri"/>
          <w:b/>
          <w:bCs/>
          <w:color w:val="0070C0"/>
        </w:rPr>
        <w:t>l’Azione 2.4.1</w:t>
      </w:r>
      <w:r w:rsidRPr="35CD470B">
        <w:rPr>
          <w:rFonts w:ascii="Calibri" w:hAnsi="Calibri" w:cs="Calibri"/>
        </w:rPr>
        <w:t xml:space="preserve">, dedicata alla prevenzione e messa in sicurezza del patrimonio culturale dai rischi sismici e idrogeologici, mediante interventi strutturali su edifici vulnerabili, utilizzando strumenti avanzati di analisi del rischio, tra cui il database ISPRA, INGV e la Carta del Rischio del </w:t>
      </w:r>
      <w:proofErr w:type="spellStart"/>
      <w:r w:rsidRPr="35CD470B">
        <w:rPr>
          <w:rFonts w:ascii="Calibri" w:hAnsi="Calibri" w:cs="Calibri"/>
        </w:rPr>
        <w:t>MiC</w:t>
      </w:r>
      <w:proofErr w:type="spellEnd"/>
      <w:r w:rsidRPr="35CD470B">
        <w:rPr>
          <w:rFonts w:ascii="Calibri" w:hAnsi="Calibri" w:cs="Calibri"/>
        </w:rPr>
        <w:t>.</w:t>
      </w:r>
    </w:p>
    <w:p w:rsidRPr="004D1768" w:rsidR="004D1768" w:rsidP="009C5076" w:rsidRDefault="35CD470B" w14:paraId="308DA231" w14:textId="049C17A6">
      <w:pPr>
        <w:pStyle w:val="ListParagraph"/>
        <w:numPr>
          <w:ilvl w:val="0"/>
          <w:numId w:val="30"/>
        </w:numPr>
        <w:spacing w:before="120" w:after="120" w:line="276" w:lineRule="auto"/>
        <w:ind w:left="284" w:hanging="284"/>
        <w:jc w:val="both"/>
        <w:rPr>
          <w:rFonts w:ascii="Calibri" w:hAnsi="Calibri" w:cs="Calibri"/>
        </w:rPr>
      </w:pPr>
      <w:r w:rsidRPr="35CD470B">
        <w:rPr>
          <w:rFonts w:ascii="Calibri" w:hAnsi="Calibri" w:cs="Calibri"/>
          <w:b/>
          <w:bCs/>
          <w:color w:val="0070C0"/>
        </w:rPr>
        <w:t>l’Azione 2.4.2</w:t>
      </w:r>
      <w:r w:rsidRPr="35CD470B">
        <w:rPr>
          <w:rFonts w:ascii="Calibri" w:hAnsi="Calibri" w:cs="Calibri"/>
        </w:rPr>
        <w:t>, che prevede la creazione di depositi temporanei per la salvaguardia dei beni culturali mobili in caso di calamità e la promozione del riuso sostenibile di materiali edilizi storici, ispirandosi a modelli di economia circolare già sperimentati a livello europeo.</w:t>
      </w:r>
    </w:p>
    <w:p w:rsidR="00114802" w:rsidP="009C5076" w:rsidRDefault="35CD470B" w14:paraId="1D8E88C0" w14:textId="3F14ED53">
      <w:pPr>
        <w:pStyle w:val="ListParagraph"/>
        <w:numPr>
          <w:ilvl w:val="0"/>
          <w:numId w:val="30"/>
        </w:numPr>
        <w:spacing w:before="120" w:after="120" w:line="276" w:lineRule="auto"/>
        <w:ind w:left="284" w:hanging="284"/>
        <w:jc w:val="both"/>
        <w:rPr>
          <w:rFonts w:ascii="Calibri" w:hAnsi="Calibri" w:cs="Calibri"/>
        </w:rPr>
      </w:pPr>
      <w:r w:rsidRPr="35CD470B">
        <w:rPr>
          <w:rFonts w:ascii="Calibri" w:hAnsi="Calibri" w:cs="Calibri"/>
          <w:b/>
          <w:bCs/>
          <w:color w:val="0070C0"/>
        </w:rPr>
        <w:t>l’Azione 2.4.3</w:t>
      </w:r>
      <w:r w:rsidRPr="35CD470B">
        <w:rPr>
          <w:rFonts w:ascii="Calibri" w:hAnsi="Calibri" w:cs="Calibri"/>
        </w:rPr>
        <w:t>, che integra misure di messa in sicurezza e riqualificazione energetica nei grandi complessi monumentali a rischio, adottando un approccio innovativo e multidisciplinare che combina tecnologie avanzate e metodologie di restauro conservativo.</w:t>
      </w:r>
    </w:p>
    <w:p w:rsidR="35CD470B" w:rsidP="35CD470B" w:rsidRDefault="35CD470B" w14:paraId="70B59470" w14:textId="61D54E45">
      <w:pPr>
        <w:pStyle w:val="ListParagraph"/>
        <w:spacing w:before="120" w:after="120" w:line="276" w:lineRule="auto"/>
        <w:ind w:left="0"/>
        <w:jc w:val="both"/>
        <w:rPr>
          <w:rFonts w:ascii="Calibri" w:hAnsi="Calibri" w:cs="Calibri"/>
        </w:rPr>
      </w:pPr>
    </w:p>
    <w:p w:rsidR="00114802" w:rsidP="00114802" w:rsidRDefault="35CD470B" w14:paraId="04C3980C" w14:textId="0DE85EA4">
      <w:pPr>
        <w:pStyle w:val="ListParagraph"/>
        <w:spacing w:before="120" w:after="120" w:line="276" w:lineRule="auto"/>
        <w:ind w:left="0"/>
        <w:jc w:val="both"/>
        <w:rPr>
          <w:rFonts w:ascii="Calibri" w:hAnsi="Calibri" w:cs="Calibri"/>
        </w:rPr>
      </w:pPr>
      <w:r w:rsidRPr="35CD470B">
        <w:rPr>
          <w:rFonts w:ascii="Calibri" w:hAnsi="Calibri" w:cs="Calibri"/>
        </w:rPr>
        <w:t>L’attuazione degli interventi in questa seconda priorità del PN Cultura segue un processo strutturato di verifica e controllo, che inizia con la selezione dell’operazione e prosegue fino alla chiusura dell’attività e alla valutazione degli indicatori di realizzazione. L’intero ciclo deve garantire la piena conformità al Regolamento (UE) 2021/1060, al D.Lgs. 36/2023 e alle ulteriori disposizioni normative nazionali e comunitarie di riferimento.</w:t>
      </w:r>
    </w:p>
    <w:p w:rsidRPr="00F2065A" w:rsidR="00114802" w:rsidP="00114802" w:rsidRDefault="35CD470B" w14:paraId="233707A9" w14:textId="4D0F829A">
      <w:pPr>
        <w:pStyle w:val="ListParagraph"/>
        <w:spacing w:before="120" w:after="120" w:line="276" w:lineRule="auto"/>
        <w:ind w:left="0"/>
        <w:jc w:val="both"/>
        <w:rPr>
          <w:rFonts w:ascii="Calibri" w:hAnsi="Calibri" w:cs="Calibri"/>
        </w:rPr>
      </w:pPr>
      <w:r w:rsidRPr="35CD470B">
        <w:rPr>
          <w:rFonts w:ascii="Calibri" w:hAnsi="Calibri" w:cs="Calibri"/>
        </w:rPr>
        <w:t xml:space="preserve">Nella fase iniziale, è necessario verificare l’ammissibilità dell’operazione al programma, accertando la presenza di una delibera, verbale o determina o atto equivalente che attesti la partecipazione al Programma Operativo e garantendo che l’intervento rientri nell’ambito di applicazione del Fondo di riferimento, sia coerente con il PN Cultura 2021-2027 e con i criteri di selezione approvati dal Comitato di Sorveglianza. È fondamentale che la proposta progettuale presentata dal Beneficiario rispetti le prescrizioni dell’Avviso emanato dall’Autorità di Gestione e che sia stata inoltrata nei termini previsti, con un iter di istruttoria formalizzato tramite verbali completi e firmati. L’ammissione al finanziamento deve essere attestata da un atto formale, notificato al Beneficiario secondo le modalità previste dalla normativa applicabile, così come il disciplinare, che deve riportare il CUP e le condizioni di sostegno, incluse le specifiche tecniche, il piano finanziario i termini di </w:t>
      </w:r>
      <w:r w:rsidRPr="00F2065A">
        <w:rPr>
          <w:rFonts w:ascii="Calibri" w:hAnsi="Calibri" w:cs="Calibri"/>
        </w:rPr>
        <w:t>esecuzione e le spese ammissibili.</w:t>
      </w:r>
    </w:p>
    <w:p w:rsidRPr="00F2065A" w:rsidR="00114802" w:rsidP="00114802" w:rsidRDefault="35CD470B" w14:paraId="742283A3" w14:textId="5DFB71E1">
      <w:pPr>
        <w:pStyle w:val="ListParagraph"/>
        <w:spacing w:before="120" w:after="120" w:line="276" w:lineRule="auto"/>
        <w:ind w:left="0"/>
        <w:jc w:val="both"/>
        <w:rPr>
          <w:rFonts w:ascii="Calibri" w:hAnsi="Calibri" w:cs="Calibri"/>
        </w:rPr>
      </w:pPr>
      <w:r w:rsidRPr="00F2065A">
        <w:rPr>
          <w:rFonts w:ascii="Calibri" w:hAnsi="Calibri" w:cs="Calibri"/>
        </w:rPr>
        <w:t>La fase di avvio dell’intervento prevede la verifica dell’inclusione dei lavori nel programma triennale dei lavori pubblici e nei relativi aggiornamenti annuali, in conformità all’art. 37, comma 1, del D.Lgs. 36/2023. Per gli interventi che superano la soglia comunitaria, è indispensabile accertare l’approvazione preventiva del documento di fattibilità delle alternative progettuali e del documento di indirizzo alla progettazione, come previsto dall’art. 37, comma 2, del medesimo decreto. Per gli interventi di importo pari o superiore a 500.000,00 euro, è inoltre obbligatoria l’iscrizione della stazione appaltante nell’elenco delle Stazioni Appaltanti Qualificate presso ANAC, secondo quanto stabilito dall’art. 63, comma 1, del D.Lgs. 36/2023.</w:t>
      </w:r>
    </w:p>
    <w:p w:rsidR="00114802" w:rsidP="00114802" w:rsidRDefault="00366EFB" w14:paraId="0B999E2A" w14:textId="77777777">
      <w:pPr>
        <w:pStyle w:val="ListParagraph"/>
        <w:spacing w:before="120" w:after="120" w:line="276" w:lineRule="auto"/>
        <w:ind w:left="0"/>
        <w:jc w:val="both"/>
        <w:rPr>
          <w:rFonts w:ascii="Calibri" w:hAnsi="Calibri" w:cs="Calibri"/>
        </w:rPr>
      </w:pPr>
      <w:r w:rsidRPr="00F2065A">
        <w:rPr>
          <w:rFonts w:ascii="Calibri" w:hAnsi="Calibri" w:cs="Calibri"/>
        </w:rPr>
        <w:t>Qualora sia previsto l’affidamento di servizi di ingegneria e architettura, la selezione dei fornitori deve rispettare i requisiti del D.Lgs. 36/2023, con particolare attenzione alle procedure adottate dalle stazioni appaltanti non qualificate, che devono ricorrere agli strumenti telematici di negoziazione delle Centrali di committenza qualificate, come indicato nell’art. 62, comma 6, lett. c, del D.Lgs. 36/2023. La predisposizione della determina a contrarre costituisce un passaggio essenziale, in quanto deve</w:t>
      </w:r>
      <w:r w:rsidRPr="00366EFB">
        <w:rPr>
          <w:rFonts w:ascii="Calibri" w:hAnsi="Calibri" w:cs="Calibri"/>
        </w:rPr>
        <w:t xml:space="preserve"> stabilire in modo inequivocabile l’importo dell’affidamento, la procedura selezionata e l’integrazione di clausole sociali e criteri di sostenibilità, in linea con l’art. 57 del D.Lgs. 36/2023.</w:t>
      </w:r>
    </w:p>
    <w:p w:rsidR="00114802" w:rsidP="00114802" w:rsidRDefault="35CD470B" w14:paraId="6E8A1D11" w14:textId="0097E1D8">
      <w:pPr>
        <w:pStyle w:val="ListParagraph"/>
        <w:spacing w:before="120" w:after="120" w:line="276" w:lineRule="auto"/>
        <w:ind w:left="0"/>
        <w:jc w:val="both"/>
        <w:rPr>
          <w:rFonts w:ascii="Calibri" w:hAnsi="Calibri" w:cs="Calibri"/>
        </w:rPr>
      </w:pPr>
      <w:r w:rsidRPr="35CD470B">
        <w:rPr>
          <w:rFonts w:ascii="Calibri" w:hAnsi="Calibri" w:cs="Calibri"/>
        </w:rPr>
        <w:t xml:space="preserve">Durante l’esecuzione dell’intervento, l’affidamento dell’appalto e il controllo del contratto devono garantire il rispetto delle soglie di importo stabilite dagli artt. 14, 50 e 70 del D.Lgs. 36/2023, nonché l’adesione ai criteri di aggiudicazione definiti dall’art. 108 del medesimo decreto. In particolare, se </w:t>
      </w:r>
      <w:r w:rsidRPr="00F2065A">
        <w:rPr>
          <w:rFonts w:ascii="Calibri" w:hAnsi="Calibri" w:cs="Calibri"/>
        </w:rPr>
        <w:t xml:space="preserve">viene adottato il criterio del miglior rapporto qualità/prezzo, è indispensabile verificare la coerenza dei criteri di valutazione con l’oggetto dell’appalto e l’adeguata ponderazione degli elementi di giudizio. La commissione giudicatrice deve essere nominata successivamente alla data ultima di presentazione delle offerte, come previsto dall’art. 93 del D.Lgs. 36/2023, e ogni suo componente è tenuto a presentare una dichiarazione di assenza di conflitti d’interesse, resa ai sensi del DPR 445/2000 e </w:t>
      </w:r>
      <w:proofErr w:type="spellStart"/>
      <w:r w:rsidRPr="00F2065A">
        <w:rPr>
          <w:rFonts w:ascii="Calibri" w:hAnsi="Calibri" w:cs="Calibri"/>
        </w:rPr>
        <w:t>s.m.i.</w:t>
      </w:r>
      <w:proofErr w:type="spellEnd"/>
    </w:p>
    <w:p w:rsidR="00114802" w:rsidP="00114802" w:rsidRDefault="35CD470B" w14:paraId="63FA9FC7" w14:textId="671219D8">
      <w:pPr>
        <w:pStyle w:val="ListParagraph"/>
        <w:spacing w:before="120" w:after="120" w:line="276" w:lineRule="auto"/>
        <w:ind w:left="0"/>
        <w:jc w:val="both"/>
        <w:rPr>
          <w:rFonts w:ascii="Calibri" w:hAnsi="Calibri" w:cs="Calibri"/>
        </w:rPr>
      </w:pPr>
      <w:r w:rsidRPr="35CD470B">
        <w:rPr>
          <w:rFonts w:ascii="Calibri" w:hAnsi="Calibri" w:cs="Calibri"/>
        </w:rPr>
        <w:t>Nel corso dell’attuazione dell’appalto, è fondamentale monitorare la gestione di eventuali varianti contrattuali e lavori supplementari, nel rispetto degli artt. 106 e 117 del D.Lgs. 36/2023, nonché assicurare la corretta tracciabilità delle spese e la conformità della rendicontazione, garantendo che le registrazioni contabili rispettino i limiti finanziari previsti dall’art. 45 del D.Lgs. 36/2023. Il verbale di chiusura dei lavori e il conto finale devono essere coerenti con quanto disposto dall’art. 225 e dall’art. 51 del D.L. 77/2021, mentre il collaudo ovvero il certificato di regolare esecuzione devono rispettare i criteri stabiliti dall’art. 116 del D.Lgs. 36/2023.</w:t>
      </w:r>
    </w:p>
    <w:p w:rsidR="4897D17C" w:rsidP="07B36634" w:rsidRDefault="4897D17C" w14:paraId="1E16F9F5" w14:textId="09EA0227">
      <w:pPr>
        <w:pStyle w:val="ListParagraph"/>
        <w:spacing w:before="120" w:after="120" w:line="276" w:lineRule="auto"/>
        <w:ind w:left="0"/>
        <w:jc w:val="both"/>
        <w:rPr>
          <w:rFonts w:ascii="Calibri" w:hAnsi="Calibri" w:cs="Calibri"/>
        </w:rPr>
      </w:pPr>
      <w:r w:rsidRPr="07B36634">
        <w:rPr>
          <w:rFonts w:ascii="Calibri" w:hAnsi="Calibri" w:cs="Calibri"/>
        </w:rPr>
        <w:t xml:space="preserve">Infine, la fase conclusiva dell’intervento prevede la verifica della chiusura del progetto, la certificazione del completamento delle opere e la valutazione dell’effettivo raggiungimento degli obiettivi previsti. </w:t>
      </w:r>
    </w:p>
    <w:p w:rsidR="07B36634" w:rsidP="07B36634" w:rsidRDefault="07B36634" w14:paraId="107C2BDE" w14:textId="4682DA82">
      <w:pPr>
        <w:pStyle w:val="ListParagraph"/>
        <w:spacing w:before="120" w:after="240"/>
        <w:ind w:left="1434"/>
        <w:jc w:val="both"/>
        <w:rPr>
          <w:rFonts w:ascii="Calibri" w:hAnsi="Calibri" w:cs="Calibri"/>
        </w:rPr>
      </w:pPr>
    </w:p>
    <w:p w:rsidRPr="00114802" w:rsidR="006B7F7F" w:rsidP="009C5076" w:rsidRDefault="006B7F7F" w14:paraId="7A9E2495" w14:textId="167C96CC">
      <w:pPr>
        <w:pStyle w:val="ListParagraph"/>
        <w:numPr>
          <w:ilvl w:val="0"/>
          <w:numId w:val="27"/>
        </w:numPr>
        <w:spacing w:before="120" w:after="240"/>
        <w:ind w:left="283" w:hanging="357"/>
        <w:contextualSpacing w:val="0"/>
        <w:jc w:val="both"/>
        <w:rPr>
          <w:rFonts w:ascii="Calibri" w:hAnsi="Calibri" w:cs="Calibri"/>
          <w:b/>
          <w:bCs/>
          <w:color w:val="0070C0"/>
        </w:rPr>
      </w:pPr>
      <w:r w:rsidRPr="00114802">
        <w:rPr>
          <w:rFonts w:ascii="Calibri" w:hAnsi="Calibri" w:cs="Calibri"/>
          <w:b/>
          <w:bCs/>
          <w:color w:val="0070C0"/>
        </w:rPr>
        <w:t>Partecipazione Culturale e Inclusione Sociale (Azione 4.6.1, 4.6.2, 4.6.3)</w:t>
      </w:r>
    </w:p>
    <w:p w:rsidRPr="00114802" w:rsidR="006B7F7F" w:rsidP="00114802" w:rsidRDefault="005051D4" w14:paraId="16AFA771" w14:textId="137C208F">
      <w:pPr>
        <w:pStyle w:val="ListParagraph"/>
        <w:spacing w:before="120" w:after="120" w:line="276" w:lineRule="auto"/>
        <w:ind w:left="0"/>
        <w:jc w:val="both"/>
        <w:rPr>
          <w:rFonts w:ascii="Calibri" w:hAnsi="Calibri" w:cs="Calibri"/>
        </w:rPr>
      </w:pPr>
      <w:r>
        <w:rPr>
          <w:rFonts w:ascii="Calibri" w:hAnsi="Calibri" w:cs="Calibri"/>
        </w:rPr>
        <w:t>L</w:t>
      </w:r>
      <w:r w:rsidRPr="006B7F7F" w:rsidR="006B7F7F">
        <w:rPr>
          <w:rFonts w:ascii="Calibri" w:hAnsi="Calibri" w:cs="Calibri"/>
        </w:rPr>
        <w:t>’incremento della partecipazione culturale è uno dei pilastri del PN Cultura 21-27, con l’obiettivo di rendere i luoghi della cultura più inclusivi, accessibili e integrati nelle comunità locali.</w:t>
      </w:r>
      <w:r>
        <w:rPr>
          <w:rFonts w:ascii="Calibri" w:hAnsi="Calibri" w:cs="Calibri"/>
        </w:rPr>
        <w:t xml:space="preserve"> Per il raggiungimento di questo obiettivo abbiamo le seguenti azioni:</w:t>
      </w:r>
    </w:p>
    <w:p w:rsidRPr="006B7F7F" w:rsidR="006B7F7F" w:rsidP="009C5076" w:rsidRDefault="006B7F7F" w14:paraId="6BB752B2" w14:textId="77777777">
      <w:pPr>
        <w:pStyle w:val="ListParagraph"/>
        <w:numPr>
          <w:ilvl w:val="0"/>
          <w:numId w:val="28"/>
        </w:numPr>
        <w:spacing w:before="120" w:after="120" w:line="276" w:lineRule="auto"/>
        <w:ind w:left="284"/>
        <w:jc w:val="both"/>
        <w:rPr>
          <w:rFonts w:ascii="Calibri" w:hAnsi="Calibri" w:cs="Calibri"/>
        </w:rPr>
      </w:pPr>
      <w:r w:rsidRPr="00114802">
        <w:rPr>
          <w:rFonts w:ascii="Calibri" w:hAnsi="Calibri" w:cs="Calibri"/>
          <w:b/>
          <w:color w:val="0070C0"/>
        </w:rPr>
        <w:t>Azione 4.6.1</w:t>
      </w:r>
      <w:r w:rsidRPr="006B7F7F">
        <w:rPr>
          <w:rFonts w:ascii="Calibri" w:hAnsi="Calibri" w:cs="Calibri"/>
        </w:rPr>
        <w:t>: trasformazione dei luoghi della cultura in spazi civici multifunzionali, in grado di offrire nuovi servizi culturali connessi al welfare culturale, all’educazione artistica e al contrasto dell’emarginazione sociale, con un focus su minori, donne e gruppi vulnerabili.</w:t>
      </w:r>
    </w:p>
    <w:p w:rsidRPr="006B7F7F" w:rsidR="006B7F7F" w:rsidP="009C5076" w:rsidRDefault="006B7F7F" w14:paraId="72EC5CCA" w14:textId="77777777">
      <w:pPr>
        <w:pStyle w:val="ListParagraph"/>
        <w:numPr>
          <w:ilvl w:val="0"/>
          <w:numId w:val="28"/>
        </w:numPr>
        <w:spacing w:before="120" w:after="120" w:line="276" w:lineRule="auto"/>
        <w:ind w:left="284"/>
        <w:jc w:val="both"/>
        <w:rPr>
          <w:rFonts w:ascii="Calibri" w:hAnsi="Calibri" w:cs="Calibri"/>
        </w:rPr>
      </w:pPr>
      <w:r w:rsidRPr="00114802">
        <w:rPr>
          <w:rFonts w:ascii="Calibri" w:hAnsi="Calibri" w:cs="Calibri"/>
          <w:b/>
          <w:color w:val="0070C0"/>
        </w:rPr>
        <w:t>Azione 4.6.2</w:t>
      </w:r>
      <w:r w:rsidRPr="006B7F7F">
        <w:rPr>
          <w:rFonts w:ascii="Calibri" w:hAnsi="Calibri" w:cs="Calibri"/>
        </w:rPr>
        <w:t>: attivazione di progetti locali di rigenerazione urbana e valorizzazione del patrimonio diffuso, con il diretto coinvolgimento delle comunità e delle amministrazioni locali, sperimentando modelli di governance partecipativa. Particolare attenzione è data alla restituzione alle comunità locali di beni culturali provenienti dai depositi museali statali, in un’ottica di riscoperta e riappropriazione identitaria.</w:t>
      </w:r>
    </w:p>
    <w:p w:rsidR="006B7F7F" w:rsidP="009C5076" w:rsidRDefault="006B7F7F" w14:paraId="70B0A166" w14:textId="77777777">
      <w:pPr>
        <w:pStyle w:val="ListParagraph"/>
        <w:numPr>
          <w:ilvl w:val="0"/>
          <w:numId w:val="28"/>
        </w:numPr>
        <w:spacing w:before="120" w:after="120" w:line="276" w:lineRule="auto"/>
        <w:ind w:left="284" w:hanging="284"/>
        <w:jc w:val="both"/>
        <w:rPr>
          <w:rFonts w:ascii="Calibri" w:hAnsi="Calibri" w:cs="Calibri"/>
        </w:rPr>
      </w:pPr>
      <w:r w:rsidRPr="00114802">
        <w:rPr>
          <w:rFonts w:ascii="Calibri" w:hAnsi="Calibri" w:cs="Calibri"/>
          <w:b/>
          <w:color w:val="0070C0"/>
        </w:rPr>
        <w:t>Azione 4.6.3</w:t>
      </w:r>
      <w:r w:rsidRPr="00114802">
        <w:rPr>
          <w:rFonts w:ascii="Calibri" w:hAnsi="Calibri" w:cs="Calibri"/>
          <w:color w:val="0070C0"/>
        </w:rPr>
        <w:t>:</w:t>
      </w:r>
      <w:r w:rsidRPr="006B7F7F">
        <w:rPr>
          <w:rFonts w:ascii="Calibri" w:hAnsi="Calibri" w:cs="Calibri"/>
        </w:rPr>
        <w:t xml:space="preserve"> accompagnamento e formazione degli enti pubblici e privati per lo sviluppo di modelli di gestione partecipativa e collaborazioni pubblico-private, con l’obiettivo di ottimizzare la gestione dei beni culturali e favorire la sostenibilità delle iniziative nel tempo.</w:t>
      </w:r>
    </w:p>
    <w:p w:rsidRPr="0056216E" w:rsidR="005D7183" w:rsidP="35CD470B" w:rsidRDefault="35CD470B" w14:paraId="2A1E058C" w14:textId="34B92199">
      <w:pPr>
        <w:pStyle w:val="NormalWeb"/>
        <w:spacing w:before="120" w:beforeAutospacing="0" w:after="120" w:afterAutospacing="0" w:line="276" w:lineRule="auto"/>
        <w:jc w:val="both"/>
        <w:rPr>
          <w:rFonts w:ascii="Calibri" w:hAnsi="Calibri" w:cs="Calibri"/>
        </w:rPr>
      </w:pPr>
      <w:r w:rsidRPr="35CD470B">
        <w:rPr>
          <w:rFonts w:ascii="Calibri" w:hAnsi="Calibri" w:cs="Calibri"/>
        </w:rPr>
        <w:t>La selezione dei progetti nell’ambito delle Azioni 4.6.1 e 4.6.2 seguirà un percorso articolato in più fasi, finalizzato a garantire un'attuazione efficace e coerente con gli obiettivi del Programma. In primo luogo, verranno predisposti gli strumenti operativi necessari per l’attuazione, seguiti da un confronto con le regioni target per definire un programma di lavoro condiviso. Successivamente, verrà avviata una manifestazione di interesse rivolta ai potenziali soggetti attuatori, con l’obiettivo di identificare le realtà più idonee alla realizzazione degli interventi previsti.</w:t>
      </w:r>
    </w:p>
    <w:p w:rsidRPr="00942D3F" w:rsidR="007E6F10" w:rsidP="00942D3F" w:rsidRDefault="005D7183" w14:paraId="7C131FFB" w14:textId="26E0DC5D">
      <w:pPr>
        <w:pStyle w:val="NormalWeb"/>
        <w:spacing w:before="120" w:beforeAutospacing="0" w:after="120" w:afterAutospacing="0" w:line="276" w:lineRule="auto"/>
        <w:jc w:val="both"/>
        <w:rPr>
          <w:rFonts w:ascii="Calibri" w:hAnsi="Calibri" w:cs="Calibri"/>
        </w:rPr>
      </w:pPr>
      <w:r w:rsidRPr="0056216E">
        <w:rPr>
          <w:rFonts w:ascii="Calibri" w:hAnsi="Calibri" w:cs="Calibri"/>
        </w:rPr>
        <w:t>Per quanto riguarda l’Azione 4.6.3, l’attuazione si baserà su interventi mirati di animazione locale e di supporto ai soggetti coinvolti, con particolare attenzione alla definizione e implementazione di modelli di collaborazione tra pubblico e privato per lo sviluppo di progetti innovativi e complessi. In questo contesto, la selezione dei progetti seguirà un processo strutturato che inizierà con la pubblicazione di un avviso pubblico per individuare il soggetto incaricato di erogare le attività di accompagnamento. Una volta selezionato, quest’ultimo avvierà un percorso di animazione territoriale e di supporto alla progettazione, finalizzato a rafforzare le competenze dei soggetti coinvolti e a facilitare l’attuazione delle iniziative.</w:t>
      </w:r>
    </w:p>
    <w:p w:rsidRPr="00283D1D" w:rsidR="006B7F7F" w:rsidP="009C5076" w:rsidRDefault="004C05F5" w14:paraId="432CB52C" w14:textId="302329BA">
      <w:pPr>
        <w:pStyle w:val="ListParagraph"/>
        <w:numPr>
          <w:ilvl w:val="0"/>
          <w:numId w:val="27"/>
        </w:numPr>
        <w:spacing w:before="120" w:after="240"/>
        <w:ind w:left="283" w:hanging="357"/>
        <w:contextualSpacing w:val="0"/>
        <w:jc w:val="both"/>
        <w:rPr>
          <w:rFonts w:ascii="Calibri" w:hAnsi="Calibri" w:cs="Calibri"/>
          <w:b/>
          <w:bCs/>
          <w:color w:val="0070C0"/>
        </w:rPr>
      </w:pPr>
      <w:r w:rsidRPr="00283D1D">
        <w:rPr>
          <w:rFonts w:ascii="Calibri" w:hAnsi="Calibri" w:cs="Calibri"/>
          <w:b/>
          <w:bCs/>
          <w:color w:val="0070C0"/>
        </w:rPr>
        <w:t>Priorità Assistenza Tecnica</w:t>
      </w:r>
    </w:p>
    <w:p w:rsidRPr="00444D0D" w:rsidR="00444D0D" w:rsidP="00283D1D" w:rsidRDefault="35CD470B" w14:paraId="1BB097E8" w14:textId="12FB7DAB">
      <w:pPr>
        <w:pStyle w:val="ListParagraph"/>
        <w:spacing w:before="120" w:after="120" w:line="276" w:lineRule="auto"/>
        <w:ind w:left="0"/>
        <w:jc w:val="both"/>
        <w:rPr>
          <w:rFonts w:ascii="Calibri" w:hAnsi="Calibri" w:cs="Calibri"/>
        </w:rPr>
      </w:pPr>
      <w:r w:rsidRPr="35CD470B">
        <w:rPr>
          <w:rFonts w:ascii="Calibri" w:hAnsi="Calibri" w:cs="Calibri"/>
        </w:rPr>
        <w:t xml:space="preserve">La priorità di Assistenza tecnica è concepita per supportare la gestione del Programma e garantire un sistema di governance efficiente, grazie all’acquisizione di professionalità altamente qualificate che affiancheranno le strutture responsabili nell’attuazione delle diverse azioni programmate. Queste attività includono, come previsto dal </w:t>
      </w:r>
      <w:proofErr w:type="spellStart"/>
      <w:r w:rsidRPr="35CD470B">
        <w:rPr>
          <w:rFonts w:ascii="Calibri" w:hAnsi="Calibri" w:cs="Calibri"/>
        </w:rPr>
        <w:t>PRigA</w:t>
      </w:r>
      <w:proofErr w:type="spellEnd"/>
      <w:r w:rsidRPr="35CD470B">
        <w:rPr>
          <w:rFonts w:ascii="Calibri" w:hAnsi="Calibri" w:cs="Calibri"/>
        </w:rPr>
        <w:t>, iniziative di formazione/</w:t>
      </w:r>
      <w:proofErr w:type="spellStart"/>
      <w:r w:rsidRPr="35CD470B">
        <w:rPr>
          <w:rFonts w:ascii="Calibri" w:hAnsi="Calibri" w:cs="Calibri"/>
        </w:rPr>
        <w:t>capacitazione</w:t>
      </w:r>
      <w:proofErr w:type="spellEnd"/>
      <w:r w:rsidRPr="35CD470B">
        <w:rPr>
          <w:rFonts w:ascii="Calibri" w:hAnsi="Calibri" w:cs="Calibri"/>
        </w:rPr>
        <w:t xml:space="preserve"> volte al rafforzamento delle competenze del personale dell’Amministrazione.</w:t>
      </w:r>
    </w:p>
    <w:p w:rsidRPr="00444D0D" w:rsidR="00444D0D" w:rsidP="00283D1D" w:rsidRDefault="00444D0D" w14:paraId="60C0609E" w14:textId="77777777">
      <w:pPr>
        <w:pStyle w:val="ListParagraph"/>
        <w:spacing w:before="120" w:after="120" w:line="276" w:lineRule="auto"/>
        <w:ind w:left="0"/>
        <w:jc w:val="both"/>
        <w:rPr>
          <w:rFonts w:ascii="Calibri" w:hAnsi="Calibri" w:cs="Calibri"/>
        </w:rPr>
      </w:pPr>
      <w:r w:rsidRPr="00444D0D">
        <w:rPr>
          <w:rFonts w:ascii="Calibri" w:hAnsi="Calibri" w:cs="Calibri"/>
        </w:rPr>
        <w:t xml:space="preserve">L’Autorità di Gestione, con il Decreto 1104 del 9 ottobre 2023, ha adottato il Piano di Assistenza Tecnica e </w:t>
      </w:r>
      <w:proofErr w:type="spellStart"/>
      <w:r w:rsidRPr="00444D0D">
        <w:rPr>
          <w:rFonts w:ascii="Calibri" w:hAnsi="Calibri" w:cs="Calibri"/>
        </w:rPr>
        <w:t>Capacitazione</w:t>
      </w:r>
      <w:proofErr w:type="spellEnd"/>
      <w:r w:rsidRPr="00444D0D">
        <w:rPr>
          <w:rFonts w:ascii="Calibri" w:hAnsi="Calibri" w:cs="Calibri"/>
        </w:rPr>
        <w:t xml:space="preserve"> del Programma, il quale prevede una serie di interventi specifici tra cui il supporto tecnico-operativo per l’attuazione del PN, l’assistenza alla valutazione del Programma, il potenziamento delle attività di comunicazione e informazione, la partecipazione ai confronti partenariali e l’erogazione di supporti specialistici, con un focus particolare sull’attuazione dell’Azione 1.3.1.</w:t>
      </w:r>
    </w:p>
    <w:p w:rsidRPr="00444D0D" w:rsidR="00444D0D" w:rsidP="00910B1B" w:rsidRDefault="35CD470B" w14:paraId="2AA25EE7" w14:textId="6A07A4AF">
      <w:pPr>
        <w:pStyle w:val="ListParagraph"/>
        <w:spacing w:before="120" w:after="120" w:line="276" w:lineRule="auto"/>
        <w:ind w:left="0"/>
        <w:jc w:val="both"/>
        <w:rPr>
          <w:rFonts w:ascii="Calibri" w:hAnsi="Calibri" w:cs="Calibri"/>
        </w:rPr>
      </w:pPr>
      <w:r w:rsidRPr="35CD470B">
        <w:rPr>
          <w:rFonts w:ascii="Calibri" w:hAnsi="Calibri" w:cs="Calibri"/>
        </w:rPr>
        <w:t xml:space="preserve">Per garantire un’adeguata implementazione del Piano, sono stati avviati diversi interventi. È stato pubblicato un avviso per la selezione di undici esperti con competenze specialistiche, incaricati di affiancare la struttura dell’AdG nelle diverse aree di intervento. Inoltre, è stata sottoscritta una convenzione con la società </w:t>
      </w:r>
      <w:r w:rsidRPr="35CD470B">
        <w:rPr>
          <w:rFonts w:ascii="Calibri" w:hAnsi="Calibri" w:cs="Calibri"/>
          <w:i/>
          <w:iCs/>
        </w:rPr>
        <w:t>in house</w:t>
      </w:r>
      <w:r w:rsidRPr="35CD470B">
        <w:rPr>
          <w:rFonts w:ascii="Calibri" w:hAnsi="Calibri" w:cs="Calibri"/>
        </w:rPr>
        <w:t xml:space="preserve"> Invitalia S.p.A., che continuerà ad affiancare gli Uffici dell’Autorità di Gestione nelle attività di sorveglianza, monitoraggio e attuazione del Programma. Parallelamente, è stato finalizzato il supporto tematico all’attuazione dell’Azione 1.3.1, affidato alla società </w:t>
      </w:r>
      <w:r w:rsidRPr="35CD470B">
        <w:rPr>
          <w:rFonts w:ascii="Calibri" w:hAnsi="Calibri" w:cs="Calibri"/>
          <w:i/>
          <w:iCs/>
        </w:rPr>
        <w:t>in house</w:t>
      </w:r>
      <w:r w:rsidRPr="35CD470B">
        <w:rPr>
          <w:rFonts w:ascii="Calibri" w:hAnsi="Calibri" w:cs="Calibri"/>
        </w:rPr>
        <w:t xml:space="preserve"> Ales S.p.A., strutturato in due fasi: la prima prevede la definizione delle Linee d’indirizzo attraverso studi e analisi per mappare i diversi contesti di filiera e l’elaborazione di strategie operative da sottoporre agli stakeholder; la seconda si concentrerà sulla diffusione delle Linee d’Indirizzo tramite webinar destinati ai potenziali Beneficiari degli avvisi pubblici. Inoltre, sono stati attivate ulteriori servizi di assistenza tecnica per fare fronte a varie necessità dell’AdG. </w:t>
      </w:r>
    </w:p>
    <w:p w:rsidR="35CD470B" w:rsidP="35CD470B" w:rsidRDefault="35CD470B" w14:paraId="166E1DAB" w14:textId="0A2C12E0">
      <w:pPr>
        <w:pStyle w:val="ListParagraph"/>
        <w:spacing w:before="120" w:after="240"/>
        <w:ind w:left="0"/>
        <w:jc w:val="both"/>
        <w:rPr>
          <w:rFonts w:ascii="Calibri" w:hAnsi="Calibri" w:cs="Calibri"/>
          <w:b/>
          <w:bCs/>
          <w:color w:val="0070C0"/>
        </w:rPr>
      </w:pPr>
    </w:p>
    <w:p w:rsidRPr="00910B1B" w:rsidR="00444D0D" w:rsidP="00910B1B" w:rsidRDefault="00444D0D" w14:paraId="321F9059" w14:textId="77777777">
      <w:pPr>
        <w:pStyle w:val="ListParagraph"/>
        <w:spacing w:before="120" w:after="240"/>
        <w:ind w:left="0"/>
        <w:jc w:val="both"/>
        <w:rPr>
          <w:rFonts w:ascii="Calibri" w:hAnsi="Calibri" w:cs="Calibri"/>
          <w:b/>
          <w:bCs/>
          <w:color w:val="0070C0"/>
        </w:rPr>
      </w:pPr>
      <w:r w:rsidRPr="00910B1B">
        <w:rPr>
          <w:rFonts w:ascii="Calibri" w:hAnsi="Calibri" w:cs="Calibri"/>
          <w:b/>
          <w:bCs/>
          <w:color w:val="0070C0"/>
        </w:rPr>
        <w:t>Gestione operativa e controllo delle procedure di appalto</w:t>
      </w:r>
    </w:p>
    <w:p w:rsidRPr="00910B1B" w:rsidR="00444D0D" w:rsidP="00910B1B" w:rsidRDefault="35CD470B" w14:paraId="7FF1644B" w14:textId="6346A31F">
      <w:pPr>
        <w:pStyle w:val="ListParagraph"/>
        <w:spacing w:before="120" w:after="120" w:line="276" w:lineRule="auto"/>
        <w:ind w:left="0"/>
        <w:jc w:val="both"/>
        <w:rPr>
          <w:rFonts w:ascii="Calibri" w:hAnsi="Calibri" w:cs="Calibri"/>
        </w:rPr>
      </w:pPr>
      <w:r w:rsidRPr="35CD470B">
        <w:rPr>
          <w:rFonts w:ascii="Calibri" w:hAnsi="Calibri" w:cs="Calibri"/>
        </w:rPr>
        <w:t>Per garantire la corretta attuazione delle operazioni previste dal Piano di Assistenza Tecnica, l’AdG procede all’individuazione dei soggetti attuatori responsabili della fornitura di beni e servizi, seguendo le disposizioni del D.Lgs. 36/2023. In base alla tipologia di procedura identificata, il Responsabile Unico del Procedimento (RUP) cura l’elaborazione e la gestione della procedura (gare, bandi, avvisi, etc.) per la selezione dei fornitori, fino alla stipula dei relativi contratti da parte dell’AdG.</w:t>
      </w:r>
    </w:p>
    <w:p w:rsidRPr="00444D0D" w:rsidR="00444D0D" w:rsidP="00910B1B" w:rsidRDefault="35CD470B" w14:paraId="6AA199C3" w14:textId="3C7673BF">
      <w:pPr>
        <w:pStyle w:val="ListParagraph"/>
        <w:spacing w:before="120" w:after="120" w:line="276" w:lineRule="auto"/>
        <w:ind w:left="0"/>
        <w:jc w:val="both"/>
        <w:rPr>
          <w:rFonts w:ascii="Calibri" w:hAnsi="Calibri" w:cs="Calibri"/>
        </w:rPr>
      </w:pPr>
      <w:r w:rsidRPr="35CD470B">
        <w:rPr>
          <w:rFonts w:ascii="Calibri" w:hAnsi="Calibri" w:cs="Calibri"/>
        </w:rPr>
        <w:t>Una volta conclusa la procedura di appalto, viene stipulato il contratto con il soggetto selezionato e formalizzato l’impegno definitivo di spesa. Durante l’esecuzione del contratto, il soggetto fornitore presenta gli stati di avanzamento al Direttore di Esecuzione, corredati dalla documentazione probatoria relativa alle attività svolte e ai beni o servizi forniti. Il Direttore di Esecuzione e, se diverso, il RUP verificano la correttezza degli avanzamenti e inoltrano la documentazione all’AdG per l’adozione dell’atto di liquidazione e successiva emissione dei pagamenti. A conclusione dell’esecuzione contrattuale, il Direttore di Esecuzione redige il certificato di verifica di conformità, che viene trasmesso all’AdG per il pagamento del saldo e lo svincolo della cauzione definitiva. La documentazione relativa all’intera procedura costituisce la base per le verifiche di gestione da parte della struttura incaricata del controllo delle operazioni a titolarità.</w:t>
      </w:r>
    </w:p>
    <w:p w:rsidRPr="00444D0D" w:rsidR="00444D0D" w:rsidP="00910B1B" w:rsidRDefault="35CD470B" w14:paraId="5494CC3E" w14:textId="77777777">
      <w:pPr>
        <w:pStyle w:val="ListParagraph"/>
        <w:spacing w:before="120" w:after="120" w:line="276" w:lineRule="auto"/>
        <w:ind w:left="0"/>
        <w:jc w:val="both"/>
        <w:rPr>
          <w:rFonts w:ascii="Calibri" w:hAnsi="Calibri" w:cs="Calibri"/>
        </w:rPr>
      </w:pPr>
      <w:r w:rsidRPr="35CD470B">
        <w:rPr>
          <w:rFonts w:ascii="Calibri" w:hAnsi="Calibri" w:cs="Calibri"/>
        </w:rPr>
        <w:t>L’AdG, in qualità di Beneficiario, è inoltre tenuta a predisporre un sistema di contabilità separata per tutte le transazioni legate alle operazioni e a garantire il regolare aggiornamento dei dati di avanzamento finanziario, procedurale e fisico nel sistema di gestione e monitoraggio Regis.</w:t>
      </w:r>
    </w:p>
    <w:p w:rsidR="35CD470B" w:rsidP="35CD470B" w:rsidRDefault="35CD470B" w14:paraId="3ACE19E3" w14:textId="2812AE09">
      <w:pPr>
        <w:pStyle w:val="ListParagraph"/>
        <w:spacing w:before="120" w:after="240"/>
        <w:ind w:left="0"/>
        <w:jc w:val="both"/>
        <w:rPr>
          <w:rFonts w:ascii="Calibri" w:hAnsi="Calibri" w:cs="Calibri"/>
          <w:b/>
          <w:bCs/>
          <w:color w:val="0070C0"/>
        </w:rPr>
      </w:pPr>
    </w:p>
    <w:p w:rsidRPr="00910B1B" w:rsidR="00444D0D" w:rsidP="00910B1B" w:rsidRDefault="00444D0D" w14:paraId="6B6C50C5" w14:textId="77777777">
      <w:pPr>
        <w:pStyle w:val="ListParagraph"/>
        <w:spacing w:before="120" w:after="240"/>
        <w:ind w:left="0"/>
        <w:jc w:val="both"/>
        <w:rPr>
          <w:rFonts w:ascii="Calibri" w:hAnsi="Calibri" w:cs="Calibri"/>
          <w:b/>
          <w:bCs/>
          <w:color w:val="0070C0"/>
        </w:rPr>
      </w:pPr>
      <w:r w:rsidRPr="00910B1B">
        <w:rPr>
          <w:rFonts w:ascii="Calibri" w:hAnsi="Calibri" w:cs="Calibri"/>
          <w:b/>
          <w:bCs/>
          <w:color w:val="0070C0"/>
        </w:rPr>
        <w:t>Attivazione di esperti esterni</w:t>
      </w:r>
    </w:p>
    <w:p w:rsidRPr="00444D0D" w:rsidR="00444D0D" w:rsidP="00910B1B" w:rsidRDefault="35CD470B" w14:paraId="35638523" w14:textId="64FDBA7D">
      <w:pPr>
        <w:pStyle w:val="ListParagraph"/>
        <w:spacing w:before="120" w:after="240"/>
        <w:ind w:left="0"/>
        <w:jc w:val="both"/>
        <w:rPr>
          <w:rFonts w:ascii="Calibri" w:hAnsi="Calibri" w:cs="Calibri"/>
        </w:rPr>
      </w:pPr>
      <w:r w:rsidRPr="35CD470B">
        <w:rPr>
          <w:rFonts w:ascii="Calibri" w:hAnsi="Calibri" w:cs="Calibri"/>
        </w:rPr>
        <w:t>Per rafforzare la struttura dell’Autorità di Gestione e dell’Autorità Contabile del Programma, il piano di Assistenza tecnica prevede il conferimento di incarichi di lavoro autonomo a esperti esterni attraverso procedure comparative, nel rispetto del D.Lgs. 165/2001. Gli incarichi, regolati dagli artt. 2222 e seguenti del Codice civile, sono conferiti mediante avvisi pubblici o tramite l’utilizzo di banche dati gestite da Pubbliche Amministrazioni.</w:t>
      </w:r>
    </w:p>
    <w:p w:rsidR="35CD470B" w:rsidP="35CD470B" w:rsidRDefault="35CD470B" w14:paraId="68F275BA" w14:textId="2D7B720A">
      <w:pPr>
        <w:pStyle w:val="ListParagraph"/>
        <w:spacing w:before="120" w:after="240"/>
        <w:ind w:left="0"/>
        <w:jc w:val="both"/>
        <w:rPr>
          <w:rFonts w:ascii="Calibri" w:hAnsi="Calibri" w:cs="Calibri"/>
        </w:rPr>
      </w:pPr>
    </w:p>
    <w:p w:rsidRPr="00444D0D" w:rsidR="00444D0D" w:rsidP="00910B1B" w:rsidRDefault="00444D0D" w14:paraId="45F75506" w14:textId="77777777">
      <w:pPr>
        <w:pStyle w:val="ListParagraph"/>
        <w:spacing w:before="120" w:after="240"/>
        <w:ind w:left="0"/>
        <w:jc w:val="both"/>
        <w:rPr>
          <w:rFonts w:ascii="Calibri" w:hAnsi="Calibri" w:cs="Calibri"/>
        </w:rPr>
      </w:pPr>
      <w:r w:rsidRPr="00444D0D">
        <w:rPr>
          <w:rFonts w:ascii="Calibri" w:hAnsi="Calibri" w:cs="Calibri"/>
        </w:rPr>
        <w:t>Nel caso di attività formative, divulgative o di disseminazione, come seminari, workshop e conferenze, il reclutamento di esperti potrà avvenire senza procedura comparativa, qualora il soggetto individuato abbia competenze di particolare rilievo.</w:t>
      </w:r>
    </w:p>
    <w:p w:rsidR="00C25A4D" w:rsidP="00910B1B" w:rsidRDefault="00526D2F" w14:paraId="42AF09C4" w14:textId="77777777">
      <w:pPr>
        <w:pStyle w:val="ListParagraph"/>
        <w:spacing w:before="120" w:after="240"/>
        <w:ind w:left="0"/>
        <w:jc w:val="both"/>
        <w:rPr>
          <w:rFonts w:ascii="Calibri" w:hAnsi="Calibri" w:cs="Calibri"/>
        </w:rPr>
      </w:pPr>
      <w:r>
        <w:rPr>
          <w:rFonts w:ascii="Calibri" w:hAnsi="Calibri" w:cs="Calibri"/>
        </w:rPr>
        <w:t xml:space="preserve">In tale contesto l’incaricato del controllo provvederà a verificare </w:t>
      </w:r>
      <w:r w:rsidR="002315A1">
        <w:rPr>
          <w:rFonts w:ascii="Calibri" w:hAnsi="Calibri" w:cs="Calibri"/>
        </w:rPr>
        <w:t xml:space="preserve">la regolarità della procedura di selezione esperita, con particolare riferimento </w:t>
      </w:r>
      <w:r w:rsidR="00C25A4D">
        <w:rPr>
          <w:rFonts w:ascii="Calibri" w:hAnsi="Calibri" w:cs="Calibri"/>
        </w:rPr>
        <w:t>ai seguenti aspetti:</w:t>
      </w:r>
    </w:p>
    <w:p w:rsidR="00FC6ADA" w:rsidP="009C5076" w:rsidRDefault="35CD470B" w14:paraId="23021942" w14:textId="35785C11">
      <w:pPr>
        <w:pStyle w:val="ListParagraph"/>
        <w:numPr>
          <w:ilvl w:val="0"/>
          <w:numId w:val="35"/>
        </w:numPr>
        <w:tabs>
          <w:tab w:val="clear" w:pos="720"/>
          <w:tab w:val="num" w:pos="426"/>
        </w:tabs>
        <w:spacing w:before="120" w:after="240"/>
        <w:jc w:val="both"/>
        <w:rPr>
          <w:rFonts w:ascii="Calibri" w:hAnsi="Calibri" w:cs="Calibri"/>
        </w:rPr>
      </w:pPr>
      <w:r w:rsidRPr="35CD470B">
        <w:rPr>
          <w:rFonts w:ascii="Calibri" w:hAnsi="Calibri" w:cs="Calibri"/>
        </w:rPr>
        <w:t>definizione dei fabbisogni da parte dell’AdG, in qualità di beneficiario, attraverso cui individuare il numero di esperti richiesti, le competenze e l’esperienza necessaria;</w:t>
      </w:r>
    </w:p>
    <w:p w:rsidRPr="00444D0D" w:rsidR="00444D0D" w:rsidP="009C5076" w:rsidRDefault="35CD470B" w14:paraId="6D98ED52" w14:textId="69FB4192">
      <w:pPr>
        <w:pStyle w:val="ListParagraph"/>
        <w:numPr>
          <w:ilvl w:val="0"/>
          <w:numId w:val="35"/>
        </w:numPr>
        <w:tabs>
          <w:tab w:val="clear" w:pos="720"/>
          <w:tab w:val="num" w:pos="426"/>
        </w:tabs>
        <w:spacing w:before="120" w:after="240"/>
        <w:jc w:val="both"/>
        <w:rPr>
          <w:rFonts w:ascii="Calibri" w:hAnsi="Calibri" w:cs="Calibri"/>
        </w:rPr>
      </w:pPr>
      <w:r w:rsidRPr="35CD470B">
        <w:rPr>
          <w:rFonts w:ascii="Calibri" w:hAnsi="Calibri" w:cs="Calibri"/>
        </w:rPr>
        <w:t>pubblicazione dell’avviso di selezione con indicazione dei profili professionali richiesti, dei settori di competenza e delle modalità di partecipazione;</w:t>
      </w:r>
    </w:p>
    <w:p w:rsidRPr="00444D0D" w:rsidR="00444D0D" w:rsidP="009C5076" w:rsidRDefault="35CD470B" w14:paraId="1ED563D1" w14:textId="2D7650E2">
      <w:pPr>
        <w:pStyle w:val="ListParagraph"/>
        <w:numPr>
          <w:ilvl w:val="0"/>
          <w:numId w:val="36"/>
        </w:numPr>
        <w:spacing w:before="120" w:after="240"/>
        <w:jc w:val="both"/>
        <w:rPr>
          <w:rFonts w:ascii="Calibri" w:hAnsi="Calibri" w:cs="Calibri"/>
        </w:rPr>
      </w:pPr>
      <w:r w:rsidRPr="35CD470B">
        <w:rPr>
          <w:rFonts w:ascii="Calibri" w:hAnsi="Calibri" w:cs="Calibri"/>
        </w:rPr>
        <w:t>acquisizione delle candidature e, ove necessario, richiesta di estrazione di profili da banche dati gestite da altre amministrazioni;</w:t>
      </w:r>
    </w:p>
    <w:p w:rsidRPr="00444D0D" w:rsidR="00444D0D" w:rsidP="009C5076" w:rsidRDefault="35CD470B" w14:paraId="7B631AAB" w14:textId="47C3939B">
      <w:pPr>
        <w:pStyle w:val="ListParagraph"/>
        <w:numPr>
          <w:ilvl w:val="0"/>
          <w:numId w:val="36"/>
        </w:numPr>
        <w:spacing w:before="120" w:after="240"/>
        <w:jc w:val="both"/>
        <w:rPr>
          <w:rFonts w:ascii="Calibri" w:hAnsi="Calibri" w:cs="Calibri"/>
        </w:rPr>
      </w:pPr>
      <w:r w:rsidRPr="35CD470B">
        <w:rPr>
          <w:rFonts w:ascii="Calibri" w:hAnsi="Calibri" w:cs="Calibri"/>
        </w:rPr>
        <w:t>nomina della commissione di selezione per la valutazione delle candidature in base ai criteri di ammissibilità e di merito;</w:t>
      </w:r>
    </w:p>
    <w:p w:rsidR="35CD470B" w:rsidP="009C5076" w:rsidRDefault="35CD470B" w14:paraId="2EC4523A" w14:textId="0667AC85">
      <w:pPr>
        <w:pStyle w:val="ListParagraph"/>
        <w:numPr>
          <w:ilvl w:val="0"/>
          <w:numId w:val="36"/>
        </w:numPr>
        <w:spacing w:before="120" w:after="240"/>
        <w:jc w:val="both"/>
        <w:rPr>
          <w:rFonts w:ascii="Calibri" w:hAnsi="Calibri" w:cs="Calibri"/>
        </w:rPr>
      </w:pPr>
      <w:r w:rsidRPr="35CD470B">
        <w:rPr>
          <w:rFonts w:ascii="Calibri" w:hAnsi="Calibri" w:cs="Calibri"/>
        </w:rPr>
        <w:t>selezione dei candidati per titoli e colloquio secondo i criteri previsti dall’avviso pubblico;</w:t>
      </w:r>
    </w:p>
    <w:p w:rsidRPr="00444D0D" w:rsidR="00444D0D" w:rsidP="009C5076" w:rsidRDefault="35CD470B" w14:paraId="240318D8" w14:textId="0CF7F1F9">
      <w:pPr>
        <w:pStyle w:val="ListParagraph"/>
        <w:numPr>
          <w:ilvl w:val="0"/>
          <w:numId w:val="36"/>
        </w:numPr>
        <w:spacing w:before="120" w:after="240"/>
        <w:jc w:val="both"/>
        <w:rPr>
          <w:rFonts w:ascii="Calibri" w:hAnsi="Calibri" w:cs="Calibri"/>
        </w:rPr>
      </w:pPr>
      <w:r w:rsidRPr="35CD470B">
        <w:rPr>
          <w:rFonts w:ascii="Calibri" w:hAnsi="Calibri" w:cs="Calibri"/>
        </w:rPr>
        <w:t>adozione del provvedimento di approvazione degli atti e pubblicazione degli esiti sul sito del Ministero della Cultura;</w:t>
      </w:r>
    </w:p>
    <w:p w:rsidRPr="00444D0D" w:rsidR="00444D0D" w:rsidP="009C5076" w:rsidRDefault="35CD470B" w14:paraId="25DCE0BA" w14:textId="5CC713CD">
      <w:pPr>
        <w:pStyle w:val="ListParagraph"/>
        <w:numPr>
          <w:ilvl w:val="0"/>
          <w:numId w:val="36"/>
        </w:numPr>
        <w:spacing w:before="120" w:after="240"/>
        <w:jc w:val="both"/>
        <w:rPr>
          <w:rFonts w:ascii="Calibri" w:hAnsi="Calibri" w:cs="Calibri"/>
        </w:rPr>
      </w:pPr>
      <w:r w:rsidRPr="35CD470B">
        <w:rPr>
          <w:rFonts w:ascii="Calibri" w:hAnsi="Calibri" w:cs="Calibri"/>
        </w:rPr>
        <w:t>comunicazione agli esperti selezionati, raccolta della documentazione comprovante i requisiti dichiarati e stipula dei contratti;</w:t>
      </w:r>
    </w:p>
    <w:p w:rsidRPr="00444D0D" w:rsidR="00444D0D" w:rsidP="009C5076" w:rsidRDefault="35CD470B" w14:paraId="25A5F346" w14:textId="545214F7">
      <w:pPr>
        <w:pStyle w:val="ListParagraph"/>
        <w:numPr>
          <w:ilvl w:val="0"/>
          <w:numId w:val="36"/>
        </w:numPr>
        <w:spacing w:before="120" w:after="240"/>
        <w:jc w:val="both"/>
        <w:rPr>
          <w:rFonts w:ascii="Calibri" w:hAnsi="Calibri" w:cs="Calibri"/>
        </w:rPr>
      </w:pPr>
      <w:r w:rsidRPr="35CD470B">
        <w:rPr>
          <w:rFonts w:ascii="Calibri" w:hAnsi="Calibri" w:cs="Calibri"/>
        </w:rPr>
        <w:t xml:space="preserve">verifica della conformità agli obblighi in materia di incompatibilità e </w:t>
      </w:r>
      <w:proofErr w:type="spellStart"/>
      <w:r w:rsidRPr="35CD470B">
        <w:rPr>
          <w:rFonts w:ascii="Calibri" w:hAnsi="Calibri" w:cs="Calibri"/>
        </w:rPr>
        <w:t>inconferibilità</w:t>
      </w:r>
      <w:proofErr w:type="spellEnd"/>
      <w:r w:rsidRPr="35CD470B">
        <w:rPr>
          <w:rFonts w:ascii="Calibri" w:hAnsi="Calibri" w:cs="Calibri"/>
        </w:rPr>
        <w:t xml:space="preserve"> degli incarichi, secondo le disposizioni normative vigenti;</w:t>
      </w:r>
    </w:p>
    <w:p w:rsidRPr="00444D0D" w:rsidR="00444D0D" w:rsidP="009C5076" w:rsidRDefault="35CD470B" w14:paraId="6A7284A4" w14:textId="561DF5C4">
      <w:pPr>
        <w:pStyle w:val="ListParagraph"/>
        <w:numPr>
          <w:ilvl w:val="0"/>
          <w:numId w:val="36"/>
        </w:numPr>
        <w:spacing w:before="120" w:after="240"/>
        <w:jc w:val="both"/>
        <w:rPr>
          <w:rFonts w:ascii="Calibri" w:hAnsi="Calibri" w:cs="Calibri"/>
        </w:rPr>
      </w:pPr>
      <w:r w:rsidRPr="35CD470B">
        <w:rPr>
          <w:rFonts w:ascii="Calibri" w:hAnsi="Calibri" w:cs="Calibri"/>
        </w:rPr>
        <w:t>approvazione finale dell’incarico con impegno di spesa e trasmissione agli organi preposti per il controllo preventivo (</w:t>
      </w:r>
      <w:proofErr w:type="gramStart"/>
      <w:r w:rsidRPr="35CD470B">
        <w:rPr>
          <w:rFonts w:ascii="Calibri" w:hAnsi="Calibri" w:cs="Calibri"/>
        </w:rPr>
        <w:t>Corte dei Conti</w:t>
      </w:r>
      <w:proofErr w:type="gramEnd"/>
      <w:r w:rsidRPr="35CD470B">
        <w:rPr>
          <w:rFonts w:ascii="Calibri" w:hAnsi="Calibri" w:cs="Calibri"/>
        </w:rPr>
        <w:t xml:space="preserve"> e Ufficio Centrale del Bilancio);</w:t>
      </w:r>
    </w:p>
    <w:p w:rsidRPr="00444D0D" w:rsidR="00444D0D" w:rsidP="009C5076" w:rsidRDefault="35CD470B" w14:paraId="46577AF8" w14:textId="5B5DE6A7">
      <w:pPr>
        <w:pStyle w:val="ListParagraph"/>
        <w:numPr>
          <w:ilvl w:val="0"/>
          <w:numId w:val="36"/>
        </w:numPr>
        <w:spacing w:before="120" w:after="240"/>
        <w:jc w:val="both"/>
        <w:rPr>
          <w:rFonts w:ascii="Calibri" w:hAnsi="Calibri" w:cs="Calibri"/>
        </w:rPr>
      </w:pPr>
      <w:r w:rsidRPr="35CD470B">
        <w:rPr>
          <w:rFonts w:ascii="Calibri" w:hAnsi="Calibri" w:cs="Calibri"/>
        </w:rPr>
        <w:t>pubblicazione degli incarichi conferiti nel rispetto degli obblighi di trasparenza.</w:t>
      </w:r>
    </w:p>
    <w:p w:rsidRPr="00444D0D" w:rsidR="00444D0D" w:rsidP="009C5076" w:rsidRDefault="35CD470B" w14:paraId="25154B72" w14:textId="64E786B2">
      <w:pPr>
        <w:pStyle w:val="ListParagraph"/>
        <w:numPr>
          <w:ilvl w:val="0"/>
          <w:numId w:val="37"/>
        </w:numPr>
        <w:spacing w:before="120" w:after="240"/>
        <w:jc w:val="both"/>
        <w:rPr>
          <w:rFonts w:ascii="Calibri" w:hAnsi="Calibri" w:cs="Calibri"/>
        </w:rPr>
      </w:pPr>
      <w:r w:rsidRPr="35CD470B">
        <w:rPr>
          <w:rFonts w:ascii="Calibri" w:hAnsi="Calibri" w:cs="Calibri"/>
        </w:rPr>
        <w:t>attraverso queste procedure, l’AdG intende garantire l’efficacia del Piano di Assistenza Tecnica, assicurando il supporto operativo necessario per una gestione efficiente e conforme agli obiettivi strategici del Programma.</w:t>
      </w:r>
    </w:p>
    <w:p w:rsidR="00444D0D" w:rsidP="006B7F7F" w:rsidRDefault="00444D0D" w14:paraId="13893EAE" w14:textId="77777777">
      <w:pPr>
        <w:pStyle w:val="ListParagraph"/>
        <w:spacing w:before="120" w:after="240"/>
        <w:ind w:left="714"/>
        <w:jc w:val="both"/>
        <w:rPr>
          <w:rFonts w:ascii="Calibri" w:hAnsi="Calibri" w:cs="Calibri"/>
        </w:rPr>
      </w:pPr>
    </w:p>
    <w:p w:rsidRPr="004E4C32" w:rsidR="007043FE" w:rsidP="009C5076" w:rsidRDefault="00C3316E" w14:paraId="7540EFD8" w14:textId="3D91A9B0">
      <w:pPr>
        <w:pStyle w:val="Heading2"/>
        <w:numPr>
          <w:ilvl w:val="1"/>
          <w:numId w:val="45"/>
        </w:numPr>
        <w:rPr>
          <w:rFonts w:ascii="Calibri" w:hAnsi="Calibri" w:cs="Calibri"/>
          <w:b/>
          <w:bCs/>
          <w:color w:val="215E99" w:themeColor="text2" w:themeTint="BF"/>
          <w:sz w:val="28"/>
          <w:szCs w:val="28"/>
        </w:rPr>
      </w:pPr>
      <w:r>
        <w:rPr>
          <w:rFonts w:ascii="Calibri" w:hAnsi="Calibri" w:cs="Calibri"/>
          <w:b/>
          <w:bCs/>
          <w:color w:val="215E99" w:themeColor="text2" w:themeTint="BF"/>
          <w:sz w:val="28"/>
          <w:szCs w:val="28"/>
        </w:rPr>
        <w:t xml:space="preserve"> </w:t>
      </w:r>
      <w:r w:rsidRPr="52C5CEAB" w:rsidR="52C5CEAB">
        <w:rPr>
          <w:rFonts w:ascii="Calibri" w:hAnsi="Calibri" w:cs="Calibri"/>
          <w:b/>
          <w:bCs/>
          <w:color w:val="215E99" w:themeColor="text2" w:themeTint="BF"/>
          <w:sz w:val="28"/>
          <w:szCs w:val="28"/>
        </w:rPr>
        <w:t xml:space="preserve">  </w:t>
      </w:r>
      <w:bookmarkStart w:name="_Toc190354113" w:id="30"/>
      <w:r w:rsidRPr="52C5CEAB" w:rsidR="52C5CEAB">
        <w:rPr>
          <w:rFonts w:ascii="Calibri" w:hAnsi="Calibri" w:cs="Calibri"/>
          <w:b/>
          <w:bCs/>
          <w:color w:val="215E99" w:themeColor="text2" w:themeTint="BF"/>
          <w:sz w:val="28"/>
          <w:szCs w:val="28"/>
        </w:rPr>
        <w:t>Operazioni scaglionabili su due periodi di programmazione</w:t>
      </w:r>
      <w:bookmarkEnd w:id="30"/>
    </w:p>
    <w:p w:rsidRPr="00142E37" w:rsidR="00142E37" w:rsidP="00913CE6" w:rsidRDefault="00142E37" w14:paraId="179F8EE8" w14:textId="11E1CD24">
      <w:pPr>
        <w:spacing w:after="240" w:line="276" w:lineRule="auto"/>
        <w:jc w:val="both"/>
        <w:rPr>
          <w:rFonts w:ascii="Calibri" w:hAnsi="Calibri" w:cs="Calibri"/>
        </w:rPr>
      </w:pPr>
      <w:r w:rsidRPr="00142E37">
        <w:rPr>
          <w:rFonts w:ascii="Calibri" w:hAnsi="Calibri" w:cs="Calibri"/>
        </w:rPr>
        <w:t xml:space="preserve">Al fine di supportare gli Stati membri nella conclusione della Programmazione 2014-2020, la Commissione Europea ha introdotto la possibilità di includere nei Programmi 2021-2027 operazioni avviate ma non concluse nel precedente ciclo, purché il loro costo totale non sia inferiore a 5 milioni di euro (art. 118 del Regolamento (UE) 2021/1060). Successivamente, l’art. 118 bis del medesimo Regolamento ha ampliato la flessibilità riducendo la soglia minima del costo totale a 1 milione di euro. </w:t>
      </w:r>
      <w:r>
        <w:rPr>
          <w:rFonts w:ascii="Calibri" w:hAnsi="Calibri" w:cs="Calibri"/>
        </w:rPr>
        <w:t>Per</w:t>
      </w:r>
      <w:r w:rsidRPr="00142E37">
        <w:rPr>
          <w:rFonts w:ascii="Calibri" w:hAnsi="Calibri" w:cs="Calibri"/>
        </w:rPr>
        <w:t xml:space="preserve"> garantire il completamento delle operazioni e il loro contributo agli obiettivi strategici, in conformità all’articolo 118 del Regolamento (UE) 2021/1060 e alle indicazioni contenute negli "Orientamenti sulla chiusura dei programmi operativi adottati per beneficiare dell’assistenza del Fondo europeo di sviluppo regionale, del Fondo sociale europeo, del Fondo di coesione, del Fondo europeo per gli affari marittimi e la pesca e dei programmi di cooperazione transfrontaliera nel quadro dello strumento di assistenza preadesione (IPA II) (2014-2020) (2022/C 474/01)", è possibile scaglionare le operazioni nel periodo di Programmazione 2021-2027 (escludendo gli strumenti finanziari), a condizione che siano soddisfatti i seguenti requisiti:</w:t>
      </w:r>
    </w:p>
    <w:p w:rsidRPr="00913CE6" w:rsidR="00142E37" w:rsidP="009C5076" w:rsidRDefault="35CD470B" w14:paraId="5F3A1FD0" w14:textId="37A526A6">
      <w:pPr>
        <w:pStyle w:val="ListParagraph"/>
        <w:numPr>
          <w:ilvl w:val="0"/>
          <w:numId w:val="43"/>
        </w:numPr>
        <w:spacing w:line="276" w:lineRule="auto"/>
        <w:jc w:val="both"/>
        <w:rPr>
          <w:rFonts w:ascii="Calibri" w:hAnsi="Calibri" w:cs="Calibri"/>
        </w:rPr>
      </w:pPr>
      <w:r w:rsidRPr="35CD470B">
        <w:rPr>
          <w:rFonts w:ascii="Calibri" w:hAnsi="Calibri" w:cs="Calibri"/>
        </w:rPr>
        <w:t>l’operazione non deve essere stata cofinanziata dai Fondi o dal FEAMP nel periodo di programmazione 2007-2013;</w:t>
      </w:r>
    </w:p>
    <w:p w:rsidRPr="00913CE6" w:rsidR="00142E37" w:rsidP="009C5076" w:rsidRDefault="35CD470B" w14:paraId="53E35DFB" w14:textId="6F3E90CB">
      <w:pPr>
        <w:pStyle w:val="ListParagraph"/>
        <w:numPr>
          <w:ilvl w:val="0"/>
          <w:numId w:val="43"/>
        </w:numPr>
        <w:spacing w:line="276" w:lineRule="auto"/>
        <w:jc w:val="both"/>
        <w:rPr>
          <w:rFonts w:ascii="Calibri" w:hAnsi="Calibri" w:cs="Calibri"/>
        </w:rPr>
      </w:pPr>
      <w:r w:rsidRPr="35CD470B">
        <w:rPr>
          <w:rFonts w:ascii="Calibri" w:hAnsi="Calibri" w:cs="Calibri"/>
        </w:rPr>
        <w:t>il costo totale delle due fasi dell’operazione deve superare i 5 milioni di euro;</w:t>
      </w:r>
    </w:p>
    <w:p w:rsidRPr="00913CE6" w:rsidR="00142E37" w:rsidP="009C5076" w:rsidRDefault="35CD470B" w14:paraId="549943D8" w14:textId="78C5B4D7">
      <w:pPr>
        <w:pStyle w:val="ListParagraph"/>
        <w:numPr>
          <w:ilvl w:val="0"/>
          <w:numId w:val="43"/>
        </w:numPr>
        <w:spacing w:line="276" w:lineRule="auto"/>
        <w:jc w:val="both"/>
        <w:rPr>
          <w:rFonts w:ascii="Calibri" w:hAnsi="Calibri" w:cs="Calibri"/>
        </w:rPr>
      </w:pPr>
      <w:r w:rsidRPr="35CD470B">
        <w:rPr>
          <w:rFonts w:ascii="Calibri" w:hAnsi="Calibri" w:cs="Calibri"/>
        </w:rPr>
        <w:t>l’operazione deve prevedere due fasi identificabili dal punto di vista finanziario;</w:t>
      </w:r>
    </w:p>
    <w:p w:rsidRPr="00913CE6" w:rsidR="00142E37" w:rsidP="009C5076" w:rsidRDefault="35CD470B" w14:paraId="16CC9142" w14:textId="628E4312">
      <w:pPr>
        <w:pStyle w:val="ListParagraph"/>
        <w:numPr>
          <w:ilvl w:val="0"/>
          <w:numId w:val="43"/>
        </w:numPr>
        <w:spacing w:line="276" w:lineRule="auto"/>
        <w:jc w:val="both"/>
        <w:rPr>
          <w:rFonts w:ascii="Calibri" w:hAnsi="Calibri" w:cs="Calibri"/>
        </w:rPr>
      </w:pPr>
      <w:r w:rsidRPr="35CD470B">
        <w:rPr>
          <w:rFonts w:ascii="Calibri" w:hAnsi="Calibri" w:cs="Calibri"/>
        </w:rPr>
        <w:t>deve essere garantita una pista di controllo dettagliata e completa per le spese, assicurando che la stessa spesa non venga dichiarata due volte alla Commissione;</w:t>
      </w:r>
    </w:p>
    <w:p w:rsidRPr="00913CE6" w:rsidR="00142E37" w:rsidP="009C5076" w:rsidRDefault="35CD470B" w14:paraId="40ED5802" w14:textId="0F729F3B">
      <w:pPr>
        <w:pStyle w:val="ListParagraph"/>
        <w:numPr>
          <w:ilvl w:val="0"/>
          <w:numId w:val="43"/>
        </w:numPr>
        <w:spacing w:line="276" w:lineRule="auto"/>
        <w:jc w:val="both"/>
        <w:rPr>
          <w:rFonts w:ascii="Calibri" w:hAnsi="Calibri" w:cs="Calibri"/>
        </w:rPr>
      </w:pPr>
      <w:r w:rsidRPr="35CD470B">
        <w:rPr>
          <w:rFonts w:ascii="Calibri" w:hAnsi="Calibri" w:cs="Calibri"/>
        </w:rPr>
        <w:t>la seconda fase dell’operazione deve essere ammissibile al cofinanziamento da parte del FESR nel periodo di programmazione 2021-2027 e conforme a tutte le normative applicabili;</w:t>
      </w:r>
    </w:p>
    <w:p w:rsidRPr="00913CE6" w:rsidR="00142E37" w:rsidP="009C5076" w:rsidRDefault="35CD470B" w14:paraId="3FFEE56A" w14:textId="76C2543B">
      <w:pPr>
        <w:pStyle w:val="ListParagraph"/>
        <w:numPr>
          <w:ilvl w:val="0"/>
          <w:numId w:val="43"/>
        </w:numPr>
        <w:spacing w:line="276" w:lineRule="auto"/>
        <w:jc w:val="both"/>
        <w:rPr>
          <w:rFonts w:ascii="Calibri" w:hAnsi="Calibri" w:cs="Calibri"/>
        </w:rPr>
      </w:pPr>
      <w:r w:rsidRPr="35CD470B">
        <w:rPr>
          <w:rFonts w:ascii="Calibri" w:hAnsi="Calibri" w:cs="Calibri"/>
        </w:rPr>
        <w:t>nella relazione di attuazione finale presentata ai sensi dell’articolo 141 dell’RDC, o nell’ultima relazione di attuazione annuale del FEAMP, lo Stato membro deve impegnarsi a completare la seconda e ultima fase nel corso del periodo di programmazione 2021-2027.</w:t>
      </w:r>
    </w:p>
    <w:p w:rsidRPr="00142E37" w:rsidR="00142E37" w:rsidP="00913CE6" w:rsidRDefault="00142E37" w14:paraId="03153074" w14:textId="4C6334E5">
      <w:pPr>
        <w:spacing w:before="240" w:after="240" w:line="276" w:lineRule="auto"/>
        <w:jc w:val="both"/>
        <w:rPr>
          <w:rFonts w:ascii="Calibri" w:hAnsi="Calibri" w:cs="Calibri"/>
        </w:rPr>
      </w:pPr>
      <w:r w:rsidRPr="00142E37">
        <w:rPr>
          <w:rFonts w:ascii="Calibri" w:hAnsi="Calibri" w:cs="Calibri"/>
        </w:rPr>
        <w:t>Entrambe le fasi dei progetti scaglionati devono rispettare tutte le condizioni di ammissibilità previste per il periodo di programmazione 2014-2020. In deroga all’articolo 73, paragrafi 1 e 2, del Regolamento (UE) 2021/1060, l’Autorità di Gestione può concedere un sostegno a tali operazioni, purché siano soddisfatte le seguenti condizioni:</w:t>
      </w:r>
    </w:p>
    <w:p w:rsidRPr="00913CE6" w:rsidR="00142E37" w:rsidP="009C5076" w:rsidRDefault="35CD470B" w14:paraId="5EF08EC2" w14:textId="4D5598FB">
      <w:pPr>
        <w:pStyle w:val="ListParagraph"/>
        <w:numPr>
          <w:ilvl w:val="0"/>
          <w:numId w:val="42"/>
        </w:numPr>
        <w:spacing w:line="276" w:lineRule="auto"/>
        <w:jc w:val="both"/>
        <w:rPr>
          <w:rFonts w:ascii="Calibri" w:hAnsi="Calibri" w:cs="Calibri"/>
        </w:rPr>
      </w:pPr>
      <w:r w:rsidRPr="35CD470B">
        <w:rPr>
          <w:rFonts w:ascii="Calibri" w:hAnsi="Calibri" w:cs="Calibri"/>
        </w:rPr>
        <w:t>l’operazione deve prevedere due fasi identificabili dal punto di vista finanziario;</w:t>
      </w:r>
    </w:p>
    <w:p w:rsidRPr="00913CE6" w:rsidR="00142E37" w:rsidP="009C5076" w:rsidRDefault="35CD470B" w14:paraId="4DA1804B" w14:textId="2E6448BC">
      <w:pPr>
        <w:pStyle w:val="ListParagraph"/>
        <w:numPr>
          <w:ilvl w:val="0"/>
          <w:numId w:val="42"/>
        </w:numPr>
        <w:spacing w:line="276" w:lineRule="auto"/>
        <w:jc w:val="both"/>
        <w:rPr>
          <w:rFonts w:ascii="Calibri" w:hAnsi="Calibri" w:cs="Calibri"/>
        </w:rPr>
      </w:pPr>
      <w:r w:rsidRPr="35CD470B">
        <w:rPr>
          <w:rFonts w:ascii="Calibri" w:hAnsi="Calibri" w:cs="Calibri"/>
        </w:rPr>
        <w:t>deve essere garantita una pista di controllo dettagliata e completa per le spese, per evitare la doppia dichiarazione alla Commissione;</w:t>
      </w:r>
    </w:p>
    <w:p w:rsidRPr="00913CE6" w:rsidR="00142E37" w:rsidP="009C5076" w:rsidRDefault="35CD470B" w14:paraId="47C3A998" w14:textId="56A995FA">
      <w:pPr>
        <w:pStyle w:val="ListParagraph"/>
        <w:numPr>
          <w:ilvl w:val="0"/>
          <w:numId w:val="42"/>
        </w:numPr>
        <w:spacing w:line="276" w:lineRule="auto"/>
        <w:jc w:val="both"/>
        <w:rPr>
          <w:rFonts w:ascii="Calibri" w:hAnsi="Calibri" w:cs="Calibri"/>
        </w:rPr>
      </w:pPr>
      <w:r w:rsidRPr="35CD470B">
        <w:rPr>
          <w:rFonts w:ascii="Calibri" w:hAnsi="Calibri" w:cs="Calibri"/>
        </w:rPr>
        <w:t>l’operazione deve rientrare tra le azioni programmate nell’ambito di un obiettivo specifico e attribuita a un tipo di intervento conforme all’Allegato I del Regolamento (UE) 2021/1060;</w:t>
      </w:r>
    </w:p>
    <w:p w:rsidRPr="00913CE6" w:rsidR="00142E37" w:rsidP="009C5076" w:rsidRDefault="35CD470B" w14:paraId="384DF8B9" w14:textId="5012C9A7">
      <w:pPr>
        <w:pStyle w:val="ListParagraph"/>
        <w:numPr>
          <w:ilvl w:val="0"/>
          <w:numId w:val="42"/>
        </w:numPr>
        <w:spacing w:line="276" w:lineRule="auto"/>
        <w:jc w:val="both"/>
        <w:rPr>
          <w:rFonts w:ascii="Calibri" w:hAnsi="Calibri" w:cs="Calibri"/>
        </w:rPr>
      </w:pPr>
      <w:r w:rsidRPr="35CD470B">
        <w:rPr>
          <w:rFonts w:ascii="Calibri" w:hAnsi="Calibri" w:cs="Calibri"/>
        </w:rPr>
        <w:t>nella relazione di attuazione finale, presentata ai sensi dell’articolo 141 dell’RDC, lo Stato membro deve impegnarsi a completare la seconda e ultima fase nel periodo di programmazione 2021-2027.</w:t>
      </w:r>
    </w:p>
    <w:p w:rsidRPr="00142E37" w:rsidR="00142E37" w:rsidP="00142E37" w:rsidRDefault="00142E37" w14:paraId="224B9625" w14:textId="77777777">
      <w:pPr>
        <w:spacing w:line="276" w:lineRule="auto"/>
        <w:jc w:val="both"/>
        <w:rPr>
          <w:rFonts w:ascii="Calibri" w:hAnsi="Calibri" w:cs="Calibri"/>
        </w:rPr>
      </w:pPr>
    </w:p>
    <w:p w:rsidRPr="00142E37" w:rsidR="00142E37" w:rsidP="00142E37" w:rsidRDefault="00142E37" w14:paraId="4BBC4DCD" w14:textId="4D71C06C">
      <w:pPr>
        <w:spacing w:line="276" w:lineRule="auto"/>
        <w:jc w:val="both"/>
        <w:rPr>
          <w:rFonts w:ascii="Calibri" w:hAnsi="Calibri" w:cs="Calibri"/>
        </w:rPr>
      </w:pPr>
      <w:r w:rsidRPr="00142E37">
        <w:rPr>
          <w:rFonts w:ascii="Calibri" w:hAnsi="Calibri" w:cs="Calibri"/>
        </w:rPr>
        <w:t>Alla luce di tale opportunità, l’Autorità di Gestione, in deroga all’articolo 73, paragrafi 1 e 2, del Regolamento (UE) 2021/1060, ha avviato un’analisi approfondita finalizzata all’individuazione delle operazioni non concluse nel ciclo di Programmazione 2014-2020 che risultino coerenti con gli obiettivi e le priorità del Programma, nonché alla valutazione della possibile applicazione degli articoli 118 e/o 118 bis del medesimo Regolamento per il loro completamento nel periodo 2021-2027.</w:t>
      </w:r>
    </w:p>
    <w:p w:rsidRPr="004178F2" w:rsidR="00281D73" w:rsidP="004178F2" w:rsidRDefault="00142E37" w14:paraId="33E0F502" w14:textId="56CC76CD">
      <w:pPr>
        <w:spacing w:line="276" w:lineRule="auto"/>
        <w:jc w:val="both"/>
        <w:rPr>
          <w:rFonts w:ascii="Calibri" w:hAnsi="Calibri" w:cs="Calibri"/>
        </w:rPr>
      </w:pPr>
      <w:r w:rsidRPr="00142E37">
        <w:rPr>
          <w:rFonts w:ascii="Calibri" w:hAnsi="Calibri" w:cs="Calibri"/>
        </w:rPr>
        <w:t>A tal fine, nel rispetto degli orientamenti della Commissione sulla chiusura dei Programmi Operativi (C/2024/6126), l’Autorità di Gestione ha predisposto specifici strumenti operativi, tra cui una check-list e una pista di controllo, volti a garantire l’efficace espletamento dei controlli di ammissibilità sul Programma.</w:t>
      </w:r>
    </w:p>
    <w:p w:rsidRPr="004E4C32" w:rsidR="00E84958" w:rsidP="009C5076" w:rsidRDefault="52C5CEAB" w14:paraId="077A7711" w14:textId="735A9FDB">
      <w:pPr>
        <w:pStyle w:val="Heading2"/>
        <w:numPr>
          <w:ilvl w:val="1"/>
          <w:numId w:val="45"/>
        </w:numPr>
        <w:rPr>
          <w:rFonts w:ascii="Calibri" w:hAnsi="Calibri" w:cs="Calibri"/>
          <w:b/>
          <w:bCs/>
          <w:color w:val="215E99" w:themeColor="text2" w:themeTint="BF"/>
          <w:sz w:val="28"/>
          <w:szCs w:val="28"/>
        </w:rPr>
      </w:pPr>
      <w:r w:rsidRPr="52C5CEAB">
        <w:rPr>
          <w:rFonts w:ascii="Calibri" w:hAnsi="Calibri" w:cs="Calibri"/>
          <w:b/>
          <w:bCs/>
          <w:color w:val="215E99" w:themeColor="text2" w:themeTint="BF"/>
          <w:sz w:val="28"/>
          <w:szCs w:val="28"/>
        </w:rPr>
        <w:t xml:space="preserve"> </w:t>
      </w:r>
      <w:r w:rsidR="00C3316E">
        <w:rPr>
          <w:rFonts w:ascii="Calibri" w:hAnsi="Calibri" w:cs="Calibri"/>
          <w:b/>
          <w:bCs/>
          <w:color w:val="215E99" w:themeColor="text2" w:themeTint="BF"/>
          <w:sz w:val="28"/>
          <w:szCs w:val="28"/>
        </w:rPr>
        <w:t xml:space="preserve"> </w:t>
      </w:r>
      <w:r w:rsidRPr="52C5CEAB">
        <w:rPr>
          <w:rFonts w:ascii="Calibri" w:hAnsi="Calibri" w:cs="Calibri"/>
          <w:b/>
          <w:bCs/>
          <w:color w:val="215E99" w:themeColor="text2" w:themeTint="BF"/>
          <w:sz w:val="28"/>
          <w:szCs w:val="28"/>
        </w:rPr>
        <w:t xml:space="preserve"> </w:t>
      </w:r>
      <w:bookmarkStart w:name="_Toc190354114" w:id="31"/>
      <w:r w:rsidRPr="52C5CEAB">
        <w:rPr>
          <w:rFonts w:ascii="Calibri" w:hAnsi="Calibri" w:cs="Calibri"/>
          <w:b/>
          <w:bCs/>
          <w:color w:val="215E99" w:themeColor="text2" w:themeTint="BF"/>
          <w:sz w:val="28"/>
          <w:szCs w:val="28"/>
        </w:rPr>
        <w:t>Strumenti finanziari – 1.3.1</w:t>
      </w:r>
      <w:bookmarkEnd w:id="31"/>
      <w:r w:rsidRPr="52C5CEAB">
        <w:rPr>
          <w:rFonts w:ascii="Calibri" w:hAnsi="Calibri" w:cs="Calibri"/>
          <w:b/>
          <w:bCs/>
          <w:color w:val="215E99" w:themeColor="text2" w:themeTint="BF"/>
          <w:sz w:val="28"/>
          <w:szCs w:val="28"/>
        </w:rPr>
        <w:t xml:space="preserve"> </w:t>
      </w:r>
    </w:p>
    <w:p w:rsidRPr="00F653EC" w:rsidR="00F653EC" w:rsidP="00F6796F" w:rsidRDefault="35CD470B" w14:paraId="64E2869C" w14:textId="27433F07">
      <w:pPr>
        <w:spacing w:before="120" w:after="120" w:line="276" w:lineRule="auto"/>
        <w:jc w:val="both"/>
        <w:rPr>
          <w:rFonts w:ascii="Calibri" w:hAnsi="Calibri" w:cs="Calibri"/>
        </w:rPr>
      </w:pPr>
      <w:r w:rsidRPr="35CD470B">
        <w:rPr>
          <w:rFonts w:ascii="Calibri" w:hAnsi="Calibri" w:cs="Calibri"/>
        </w:rPr>
        <w:t>L’</w:t>
      </w:r>
      <w:r w:rsidRPr="35CD470B">
        <w:rPr>
          <w:rFonts w:ascii="Calibri" w:hAnsi="Calibri" w:cs="Calibri"/>
          <w:b/>
          <w:bCs/>
        </w:rPr>
        <w:t>Azione 1.3.1</w:t>
      </w:r>
      <w:r w:rsidRPr="35CD470B">
        <w:rPr>
          <w:rFonts w:ascii="Calibri" w:hAnsi="Calibri" w:cs="Calibri"/>
        </w:rPr>
        <w:t xml:space="preserve"> è finalizzata a supportare la crescita e la competitività delle imprese culturali e creative nelle regioni meno sviluppate, attraverso uno strumento </w:t>
      </w:r>
      <w:r w:rsidRPr="35CD470B" w:rsidR="00253B71">
        <w:rPr>
          <w:rFonts w:ascii="Calibri" w:hAnsi="Calibri" w:cs="Calibri"/>
        </w:rPr>
        <w:t>finanziario</w:t>
      </w:r>
      <w:r w:rsidRPr="35CD470B">
        <w:rPr>
          <w:rFonts w:ascii="Calibri" w:hAnsi="Calibri" w:cs="Calibri"/>
        </w:rPr>
        <w:t xml:space="preserve"> che vede la combinazione di prestiti e sovvenzioni. L’obiettivo è favorire lo sviluppo di nuovi progetti nei settori della musica, audiovisivo, arti performative, patrimonio culturale materiale e immateriale, arti visive, architettura, design, letteratura </w:t>
      </w:r>
      <w:proofErr w:type="gramStart"/>
      <w:r w:rsidRPr="35CD470B">
        <w:rPr>
          <w:rFonts w:ascii="Calibri" w:hAnsi="Calibri" w:cs="Calibri"/>
        </w:rPr>
        <w:t>ed</w:t>
      </w:r>
      <w:proofErr w:type="gramEnd"/>
      <w:r w:rsidRPr="35CD470B">
        <w:rPr>
          <w:rFonts w:ascii="Calibri" w:hAnsi="Calibri" w:cs="Calibri"/>
        </w:rPr>
        <w:t xml:space="preserve"> editoria, moda e artigianato artistico. Tale misura contribuisce a stimolare un ecosistema culturale dinamico e sostenibile, creando opportunità di impiego e favorendo collaborazioni tra istituzioni pubbliche e private.</w:t>
      </w:r>
    </w:p>
    <w:p w:rsidRPr="00F653EC" w:rsidR="00F653EC" w:rsidP="00F6796F" w:rsidRDefault="35CD470B" w14:paraId="6152F4A6" w14:textId="32E19FF5">
      <w:pPr>
        <w:spacing w:before="120" w:after="120" w:line="276" w:lineRule="auto"/>
        <w:jc w:val="both"/>
        <w:rPr>
          <w:rFonts w:ascii="Calibri" w:hAnsi="Calibri" w:cs="Calibri"/>
        </w:rPr>
      </w:pPr>
      <w:r w:rsidRPr="35CD470B">
        <w:rPr>
          <w:rFonts w:ascii="Calibri" w:hAnsi="Calibri" w:cs="Calibri"/>
        </w:rPr>
        <w:t xml:space="preserve">L’attuazione di questa azione richiede un controllo attento e strutturato, che prende avvio dalla fase di creazione dello strumento finanziario. Si verifica che tale strumento sia stato istituito nel rispetto degli obiettivi del PN Cultura 2021-2027, conformemente alle disposizioni dell’articolo 58, paragrafo 3, del Regolamento (UE) 2021/1060, assicurandosi che sia stata condotta una valutazione </w:t>
      </w:r>
      <w:r w:rsidRPr="35CD470B">
        <w:rPr>
          <w:rFonts w:ascii="Calibri" w:hAnsi="Calibri" w:cs="Calibri"/>
          <w:i/>
          <w:iCs/>
        </w:rPr>
        <w:t>ex ante</w:t>
      </w:r>
      <w:r w:rsidRPr="35CD470B">
        <w:rPr>
          <w:rFonts w:ascii="Calibri" w:hAnsi="Calibri" w:cs="Calibri"/>
        </w:rPr>
        <w:t xml:space="preserve"> secondo i criteri previsti dallo stesso Regolamento e che questa sia stata presentata al Comitato di Sorveglianza, come richiesto dall’articolo 40, paragrafo 1, lettera d). La corretta strutturazione del fondo implica anche la definizione chiara della </w:t>
      </w:r>
      <w:r w:rsidRPr="35CD470B">
        <w:rPr>
          <w:rFonts w:ascii="Calibri" w:hAnsi="Calibri" w:cs="Calibri"/>
          <w:i/>
          <w:iCs/>
        </w:rPr>
        <w:t>governance</w:t>
      </w:r>
      <w:r w:rsidRPr="35CD470B">
        <w:rPr>
          <w:rFonts w:ascii="Calibri" w:hAnsi="Calibri" w:cs="Calibri"/>
        </w:rPr>
        <w:t xml:space="preserve"> e delle modalità di gestione, nel rispetto dell’articolo 92 del Regolamento di riferimento, affinché l’impegno delle risorse avvenga in conformità con l’articolo 59, paragrafo 2.</w:t>
      </w:r>
    </w:p>
    <w:p w:rsidRPr="00F653EC" w:rsidR="00F653EC" w:rsidP="00F6796F" w:rsidRDefault="35CD470B" w14:paraId="46806650" w14:textId="3728B724">
      <w:pPr>
        <w:spacing w:before="120" w:after="120" w:line="276" w:lineRule="auto"/>
        <w:jc w:val="both"/>
        <w:rPr>
          <w:rFonts w:ascii="Calibri" w:hAnsi="Calibri" w:cs="Calibri"/>
        </w:rPr>
      </w:pPr>
      <w:r w:rsidRPr="35CD470B">
        <w:rPr>
          <w:rFonts w:ascii="Calibri" w:hAnsi="Calibri" w:cs="Calibri"/>
        </w:rPr>
        <w:t>Superata la fase di istituzione dello strumento, il controllo si concentra sulla sua attuazione, garantendo che l’erogazione dei contributi sia coerente con quanto previsto nell’Accordo di Finanziamento e nel rispetto delle disposizioni sugli aiuti di Stato. Viene verificata la regolarità degli importi rendicontati dall’organismo attuatore (Soggetto gestore e Beneficiario dell’operazione ai sensi dell’art. 2 del Reg. (UE) 2021/1060), che devono rispettare i limiti e le condizioni stabilite dal Regolamento europeo, e viene assicurata la trasparenza delle procedure di selezione dei destinatari finali, in linea con gli articoli 58 e 60 del Regolamento (UE) 2021/1060. Inoltre, si verifica che gli organismi responsabili abbiano implementato sistemi di controllo interno adeguati, capaci di garantire la tracciabilità delle operazioni finanziarie e il monitoraggio di eventuali situazioni di rischio. Il soggetto gestore deve, infatti, mantenere registrazioni dettagliate su tutte le fasi e gli eventi finanziari, comprese le segnalazioni di default, la gestione di eventuali recuperi e la liquidazione delle perdite.</w:t>
      </w:r>
    </w:p>
    <w:p w:rsidRPr="00F653EC" w:rsidR="00F653EC" w:rsidP="00F6796F" w:rsidRDefault="00F653EC" w14:paraId="46E1D504" w14:textId="77777777">
      <w:pPr>
        <w:spacing w:before="120" w:after="120" w:line="276" w:lineRule="auto"/>
        <w:jc w:val="both"/>
        <w:rPr>
          <w:rFonts w:ascii="Calibri" w:hAnsi="Calibri" w:cs="Calibri"/>
        </w:rPr>
      </w:pPr>
      <w:r w:rsidRPr="00F653EC">
        <w:rPr>
          <w:rFonts w:ascii="Calibri" w:hAnsi="Calibri" w:cs="Calibri"/>
        </w:rPr>
        <w:t>Un ulteriore livello di verifica riguarda l’utilizzo degli interessi e delle plusvalenze maturate nell’ambito dello strumento finanziario. Secondo l’articolo 60, paragrafo 2, del Regolamento (UE) 2021/1060, tali risorse devono essere reimpiegate per gli stessi obiettivi del fondo, coprendo spese di gestione, commissioni e nuovi investimenti a favore dei destinatari finali. Qualora lo strumento finanziario venga liquidato prima della chiusura del programma, le risorse restituite devono essere nuovamente impiegate fino alla fine del periodo di ammissibilità, in conformità all’articolo 62, paragrafo 1. Nel caso in cui alcune somme non siano utilizzate, queste devono essere correttamente detratte dalla contabilità finale del programma.</w:t>
      </w:r>
    </w:p>
    <w:p w:rsidRPr="00F653EC" w:rsidR="00F653EC" w:rsidP="00F6796F" w:rsidRDefault="00F653EC" w14:paraId="60B5DF01" w14:textId="3EAA5780">
      <w:pPr>
        <w:spacing w:before="120" w:after="120" w:line="276" w:lineRule="auto"/>
        <w:jc w:val="both"/>
        <w:rPr>
          <w:rFonts w:ascii="Calibri" w:hAnsi="Calibri" w:cs="Calibri"/>
        </w:rPr>
      </w:pPr>
      <w:r w:rsidRPr="00F653EC">
        <w:rPr>
          <w:rFonts w:ascii="Calibri" w:hAnsi="Calibri" w:cs="Calibri"/>
        </w:rPr>
        <w:t xml:space="preserve">L’azione di controllo si estende anche alla gestione della fase di uscita dallo strumento finanziario e al disimpegno delle risorse. Le modalità di disimpegno definite nell’Accordo di Finanziamento devono assicurare la restituzione delle risorse non utilizzate all’Autorità di Gestione o ad altre autorità nazionali, come previsto dall’articolo 62 del Regolamento (UE) 2021/1060. Inoltre, è stabilito che le risorse restituite debbano essere riutilizzate per almeno otto anni dopo la fine del periodo di ammissibilità, in linea con gli obiettivi strategici del </w:t>
      </w:r>
      <w:r w:rsidR="00B87741">
        <w:rPr>
          <w:rFonts w:ascii="Calibri" w:hAnsi="Calibri" w:cs="Calibri"/>
        </w:rPr>
        <w:t>P</w:t>
      </w:r>
      <w:r w:rsidRPr="00F653EC">
        <w:rPr>
          <w:rFonts w:ascii="Calibri" w:hAnsi="Calibri" w:cs="Calibri"/>
        </w:rPr>
        <w:t>rogramma, sia attraverso nuovi strumenti finanziari sia mediante altre forme di sostegno.</w:t>
      </w:r>
    </w:p>
    <w:p w:rsidRPr="00F653EC" w:rsidR="00F653EC" w:rsidP="00A64B7E" w:rsidRDefault="00F653EC" w14:paraId="3C39206D" w14:textId="77777777">
      <w:pPr>
        <w:spacing w:before="120" w:after="120" w:line="276" w:lineRule="auto"/>
        <w:jc w:val="both"/>
        <w:rPr>
          <w:rFonts w:ascii="Calibri" w:hAnsi="Calibri" w:cs="Calibri"/>
        </w:rPr>
      </w:pPr>
      <w:r w:rsidRPr="00F653EC">
        <w:rPr>
          <w:rFonts w:ascii="Calibri" w:hAnsi="Calibri" w:cs="Calibri"/>
        </w:rPr>
        <w:t>Infine, una fase fondamentale del controllo riguarda i destinatari finali dei finanziamenti. Viene verificato che il soggetto gestore abbia garantito un’adeguata pubblicizzazione delle opportunità di finanziamento e che il processo di selezione delle domande sia avvenuto secondo criteri chiari e trasparenti. Particolare attenzione è dedicata alla verifica della conformità delle istanze ai requisiti del PN Cultura e alla normativa nazionale sugli aiuti di Stato. Il contratto di finanziamento con i destinatari finali deve prevedere obblighi precisi e sanzioni in caso di inadempimento, oltre a garantire un sistema di monitoraggio delle spese sostenute. Il corretto utilizzo dei fondi da parte dei beneficiari è oggetto di controlli ex post, che ne valutano la coerenza con il progetto approvato e la conformità alle disposizioni del regolamento comunitario.</w:t>
      </w:r>
    </w:p>
    <w:p w:rsidRPr="00DD5ECE" w:rsidR="002543E0" w:rsidP="00DD5ECE" w:rsidRDefault="35CD470B" w14:paraId="5A8E3F5A" w14:textId="1620E4C0">
      <w:pPr>
        <w:spacing w:before="120" w:after="120" w:line="276" w:lineRule="auto"/>
        <w:jc w:val="both"/>
        <w:rPr>
          <w:rFonts w:ascii="Calibri" w:hAnsi="Calibri" w:cs="Calibri"/>
        </w:rPr>
      </w:pPr>
      <w:r w:rsidRPr="35CD470B">
        <w:rPr>
          <w:rFonts w:ascii="Calibri" w:hAnsi="Calibri" w:cs="Calibri"/>
        </w:rPr>
        <w:t xml:space="preserve">Le verifiche amministrative relative allo Strumento Finanziario, effettuate dalla UO 4 “Controlli dell’AdG” hanno l’obiettivo di assicurare che le procedure e gli strumenti attivati siano conformi alla normativa applicabile, al PN Cultura 2021-2027 e all’Accordo di Finanziamento sottoscritto. Le verifiche di gestione saranno svolte durante tutta la durata dello strumento finanziario dalla sua costituzione fino alla chiusura. </w:t>
      </w:r>
    </w:p>
    <w:p w:rsidRPr="00662C7C" w:rsidR="00F62FDD" w:rsidP="009C5076" w:rsidRDefault="52C5CEAB" w14:paraId="55C17DC4" w14:textId="4CDEF403">
      <w:pPr>
        <w:pStyle w:val="Heading2"/>
        <w:numPr>
          <w:ilvl w:val="1"/>
          <w:numId w:val="45"/>
        </w:numPr>
        <w:rPr>
          <w:rFonts w:ascii="Calibri" w:hAnsi="Calibri" w:cs="Calibri"/>
          <w:b/>
          <w:bCs/>
          <w:color w:val="215E99" w:themeColor="text2" w:themeTint="BF"/>
          <w:sz w:val="28"/>
          <w:szCs w:val="28"/>
        </w:rPr>
      </w:pPr>
      <w:bookmarkStart w:name="_Toc189007085" w:id="32"/>
      <w:bookmarkEnd w:id="32"/>
      <w:r w:rsidRPr="52C5CEAB">
        <w:rPr>
          <w:rFonts w:ascii="Calibri" w:hAnsi="Calibri" w:cs="Calibri"/>
          <w:b/>
          <w:bCs/>
          <w:color w:val="215E99" w:themeColor="text2" w:themeTint="BF"/>
          <w:sz w:val="28"/>
          <w:szCs w:val="28"/>
        </w:rPr>
        <w:t xml:space="preserve">  </w:t>
      </w:r>
      <w:r w:rsidR="00C3316E">
        <w:rPr>
          <w:rFonts w:ascii="Calibri" w:hAnsi="Calibri" w:cs="Calibri"/>
          <w:b/>
          <w:bCs/>
          <w:color w:val="215E99" w:themeColor="text2" w:themeTint="BF"/>
          <w:sz w:val="28"/>
          <w:szCs w:val="28"/>
        </w:rPr>
        <w:t xml:space="preserve"> </w:t>
      </w:r>
      <w:bookmarkStart w:name="_Toc190354115" w:id="33"/>
      <w:r w:rsidRPr="00662C7C">
        <w:rPr>
          <w:rFonts w:ascii="Calibri" w:hAnsi="Calibri" w:cs="Calibri"/>
          <w:b/>
          <w:bCs/>
          <w:color w:val="215E99" w:themeColor="text2" w:themeTint="BF"/>
          <w:sz w:val="28"/>
          <w:szCs w:val="28"/>
        </w:rPr>
        <w:t>Esito delle verifiche di gestione</w:t>
      </w:r>
      <w:bookmarkEnd w:id="33"/>
    </w:p>
    <w:p w:rsidRPr="00662C7C" w:rsidR="00550991" w:rsidP="00886E5E" w:rsidRDefault="009930A5" w14:paraId="1DC0E7C1" w14:textId="157DAE8B">
      <w:pPr>
        <w:spacing w:line="276" w:lineRule="auto"/>
        <w:jc w:val="both"/>
        <w:rPr>
          <w:rFonts w:ascii="Calibri" w:hAnsi="Calibri" w:cs="Calibri"/>
        </w:rPr>
      </w:pPr>
      <w:r w:rsidRPr="00662C7C">
        <w:rPr>
          <w:rFonts w:ascii="Calibri" w:hAnsi="Calibri" w:cs="Calibri"/>
        </w:rPr>
        <w:t>Una verifica si considera conclusa quando viene fornito un esito definitivo,</w:t>
      </w:r>
      <w:r w:rsidRPr="00662C7C" w:rsidR="00071C94">
        <w:rPr>
          <w:rFonts w:ascii="Calibri" w:hAnsi="Calibri" w:cs="Calibri"/>
        </w:rPr>
        <w:t xml:space="preserve"> che si concretizza in</w:t>
      </w:r>
      <w:r w:rsidRPr="00662C7C">
        <w:rPr>
          <w:rFonts w:ascii="Calibri" w:hAnsi="Calibri" w:cs="Calibri"/>
        </w:rPr>
        <w:t xml:space="preserve">: </w:t>
      </w:r>
    </w:p>
    <w:p w:rsidRPr="00662C7C" w:rsidR="00550991" w:rsidP="009C5076" w:rsidRDefault="35CD470B" w14:paraId="75C99018" w14:textId="38B438CA">
      <w:pPr>
        <w:pStyle w:val="ListParagraph"/>
        <w:numPr>
          <w:ilvl w:val="0"/>
          <w:numId w:val="2"/>
        </w:numPr>
        <w:spacing w:line="276" w:lineRule="auto"/>
        <w:jc w:val="both"/>
        <w:rPr>
          <w:rFonts w:ascii="Calibri" w:hAnsi="Calibri" w:cs="Calibri"/>
        </w:rPr>
      </w:pPr>
      <w:r w:rsidRPr="00662C7C">
        <w:rPr>
          <w:rFonts w:ascii="Calibri" w:hAnsi="Calibri" w:cs="Calibri"/>
          <w:b/>
          <w:bCs/>
          <w:color w:val="0070C0"/>
          <w:u w:val="single"/>
        </w:rPr>
        <w:t>POSITIVO</w:t>
      </w:r>
      <w:r w:rsidRPr="00662C7C">
        <w:rPr>
          <w:rFonts w:ascii="Calibri" w:hAnsi="Calibri" w:cs="Calibri"/>
        </w:rPr>
        <w:t xml:space="preserve"> – Assenza di anomalie e criticità e irregolarità. Conformità alle norme di riferimento.</w:t>
      </w:r>
    </w:p>
    <w:p w:rsidRPr="00662C7C" w:rsidR="00550991" w:rsidP="009C5076" w:rsidRDefault="35CD470B" w14:paraId="789E647B" w14:textId="0B04502F">
      <w:pPr>
        <w:pStyle w:val="ListParagraph"/>
        <w:numPr>
          <w:ilvl w:val="0"/>
          <w:numId w:val="2"/>
        </w:numPr>
        <w:spacing w:line="276" w:lineRule="auto"/>
        <w:jc w:val="both"/>
        <w:rPr>
          <w:rFonts w:ascii="Calibri" w:hAnsi="Calibri" w:cs="Calibri"/>
        </w:rPr>
      </w:pPr>
      <w:r w:rsidRPr="00662C7C">
        <w:rPr>
          <w:rFonts w:ascii="Calibri" w:hAnsi="Calibri" w:cs="Calibri"/>
          <w:b/>
          <w:bCs/>
          <w:color w:val="0070C0"/>
          <w:u w:val="single"/>
        </w:rPr>
        <w:t>PARZIALMENTE POSITIVO</w:t>
      </w:r>
      <w:r w:rsidRPr="00662C7C">
        <w:rPr>
          <w:rFonts w:ascii="Calibri" w:hAnsi="Calibri" w:cs="Calibri"/>
        </w:rPr>
        <w:t xml:space="preserve"> – Presenza di alcune criticità per la non conformità alle norme di riferimento; tale fattispecie prevede un impatto finanziario su parte della spesa controllata. </w:t>
      </w:r>
    </w:p>
    <w:p w:rsidRPr="00662C7C" w:rsidR="00550991" w:rsidP="009C5076" w:rsidRDefault="35CD470B" w14:paraId="49A29495" w14:textId="3795D6E9">
      <w:pPr>
        <w:pStyle w:val="ListParagraph"/>
        <w:numPr>
          <w:ilvl w:val="0"/>
          <w:numId w:val="2"/>
        </w:numPr>
        <w:spacing w:line="276" w:lineRule="auto"/>
        <w:jc w:val="both"/>
        <w:rPr>
          <w:rFonts w:ascii="Calibri" w:hAnsi="Calibri" w:cs="Calibri"/>
        </w:rPr>
      </w:pPr>
      <w:r w:rsidRPr="00662C7C">
        <w:rPr>
          <w:rFonts w:ascii="Calibri" w:hAnsi="Calibri" w:cs="Calibri"/>
          <w:b/>
          <w:bCs/>
          <w:color w:val="0070C0"/>
          <w:u w:val="single"/>
        </w:rPr>
        <w:t>NEGATIVO</w:t>
      </w:r>
      <w:r w:rsidRPr="00662C7C">
        <w:rPr>
          <w:rFonts w:ascii="Calibri" w:hAnsi="Calibri" w:cs="Calibri"/>
          <w:color w:val="0070C0"/>
        </w:rPr>
        <w:t xml:space="preserve"> </w:t>
      </w:r>
      <w:r w:rsidRPr="00662C7C">
        <w:rPr>
          <w:rFonts w:ascii="Calibri" w:hAnsi="Calibri" w:cs="Calibri"/>
        </w:rPr>
        <w:t xml:space="preserve">– Presenza di irregolarità, non conformità con le norme di riferimento con impatto finanziario su tutta la spesa oggetto di controllo e/o sulla corretta realizzazione dell’operazione nel suo complesso (ad esempio, documentazione giustificativa di spesa incompleta o non conforme; documentazione fornita difforme nei diversi momenti del controllo; realizzazione dell’operazione non rispondente all’avanzamento finanziario o non rispondente all’operazione approvata ecc.). </w:t>
      </w:r>
    </w:p>
    <w:p w:rsidRPr="00662C7C" w:rsidR="35CD470B" w:rsidP="35CD470B" w:rsidRDefault="35CD470B" w14:paraId="5C922874" w14:textId="4C0943E2">
      <w:pPr>
        <w:spacing w:line="276" w:lineRule="auto"/>
        <w:jc w:val="both"/>
        <w:rPr>
          <w:rFonts w:ascii="Calibri" w:hAnsi="Calibri" w:cs="Calibri"/>
        </w:rPr>
      </w:pPr>
    </w:p>
    <w:p w:rsidRPr="000A24C7" w:rsidR="00B127A5" w:rsidP="00886E5E" w:rsidRDefault="35CD470B" w14:paraId="117AE0BE" w14:textId="4DAC50B0">
      <w:pPr>
        <w:spacing w:line="276" w:lineRule="auto"/>
        <w:jc w:val="both"/>
        <w:rPr>
          <w:rFonts w:ascii="Calibri" w:hAnsi="Calibri" w:cs="Calibri"/>
        </w:rPr>
      </w:pPr>
      <w:r w:rsidRPr="00662C7C">
        <w:rPr>
          <w:rFonts w:ascii="Calibri" w:hAnsi="Calibri" w:cs="Calibri"/>
        </w:rPr>
        <w:t>Nel caso in cui le difformità vengano corrette dal Beneficiario attraverso la presentazione della documentazione e/o delle informazioni integrative richieste entro il termine stabilito nelle comunicazioni formali tra l’Autorità di Gestione e il Beneficiario medesimo, il controllo sarà concluso con esito positivo. Qualora il Beneficiario non fornisca la documentazione entro il termine indicato, la verifica sarà conclusa con esito parzialmente positivo o negativo, comportando la non ammissibilità delle spese e/o delle attività per le quali sono state riscontrate difformità.</w:t>
      </w:r>
    </w:p>
    <w:p w:rsidRPr="000A24C7" w:rsidR="00B127A5" w:rsidP="00886E5E" w:rsidRDefault="00B127A5" w14:paraId="2565C876" w14:textId="77777777">
      <w:pPr>
        <w:spacing w:line="276" w:lineRule="auto"/>
        <w:jc w:val="both"/>
        <w:rPr>
          <w:rFonts w:ascii="Calibri" w:hAnsi="Calibri" w:cs="Calibri"/>
        </w:rPr>
      </w:pPr>
    </w:p>
    <w:p w:rsidRPr="00905CE3" w:rsidR="002F54E4" w:rsidP="00993960" w:rsidRDefault="35CD470B" w14:paraId="3C18ACC7" w14:textId="77777777">
      <w:pPr>
        <w:spacing w:line="276" w:lineRule="auto"/>
        <w:jc w:val="both"/>
        <w:rPr>
          <w:rFonts w:ascii="Calibri" w:hAnsi="Calibri" w:cs="Calibri"/>
        </w:rPr>
      </w:pPr>
      <w:r w:rsidRPr="00905CE3">
        <w:rPr>
          <w:rFonts w:ascii="Calibri" w:hAnsi="Calibri" w:cs="Calibri"/>
        </w:rPr>
        <w:t xml:space="preserve">Per ogni attività di controllo effettuata gli esiti sono archiviati, i documenti contengono la data e l’esito della verifica. Nel caso in cui siano state riscontrate criticità e l’AdG abbia deciso di aprire una fase di </w:t>
      </w:r>
      <w:r w:rsidRPr="00905CE3">
        <w:rPr>
          <w:rFonts w:ascii="Calibri" w:hAnsi="Calibri" w:cs="Calibri"/>
          <w:i/>
          <w:iCs/>
        </w:rPr>
        <w:t>follow up</w:t>
      </w:r>
      <w:r w:rsidRPr="00905CE3">
        <w:rPr>
          <w:rFonts w:ascii="Calibri" w:hAnsi="Calibri" w:cs="Calibri"/>
        </w:rPr>
        <w:t>, tutte le azioni intraprese dal beneficiario per il superamento della problematica dovranno essere registrate e rimanere agli atti.</w:t>
      </w:r>
    </w:p>
    <w:p w:rsidR="002F54E4" w:rsidP="00993960" w:rsidRDefault="00A577D0" w14:paraId="07506ABA" w14:textId="718094C8">
      <w:pPr>
        <w:spacing w:line="276" w:lineRule="auto"/>
        <w:jc w:val="both"/>
        <w:rPr>
          <w:rFonts w:ascii="Calibri" w:hAnsi="Calibri" w:cs="Calibri"/>
        </w:rPr>
      </w:pPr>
      <w:r w:rsidRPr="00905CE3">
        <w:rPr>
          <w:rFonts w:ascii="Calibri" w:hAnsi="Calibri" w:cs="Calibri"/>
        </w:rPr>
        <w:t xml:space="preserve">(il follow up viene aperto perché la verifica di gestione è parzialmente negativa </w:t>
      </w:r>
      <w:r w:rsidRPr="00905CE3" w:rsidR="00650113">
        <w:rPr>
          <w:rFonts w:ascii="Calibri" w:hAnsi="Calibri" w:cs="Calibri"/>
        </w:rPr>
        <w:t>o negativa?)</w:t>
      </w:r>
    </w:p>
    <w:p w:rsidRPr="000A24C7" w:rsidR="00ED5D0A" w:rsidP="00993960" w:rsidRDefault="00A44385" w14:paraId="5115E558" w14:textId="19A919D3">
      <w:pPr>
        <w:spacing w:line="276" w:lineRule="auto"/>
        <w:jc w:val="both"/>
        <w:rPr>
          <w:rFonts w:ascii="Calibri" w:hAnsi="Calibri" w:cs="Calibri"/>
        </w:rPr>
      </w:pPr>
      <w:r w:rsidRPr="35CD470B">
        <w:rPr>
          <w:rFonts w:ascii="Calibri" w:hAnsi="Calibri" w:cs="Calibri"/>
        </w:rPr>
        <w:br w:type="page"/>
      </w:r>
    </w:p>
    <w:p w:rsidRPr="004E4C32" w:rsidR="00195CC5" w:rsidP="009C5076" w:rsidRDefault="52C5CEAB" w14:paraId="34E8D6DC" w14:textId="7527D3B7">
      <w:pPr>
        <w:pStyle w:val="Heading2"/>
        <w:numPr>
          <w:ilvl w:val="1"/>
          <w:numId w:val="45"/>
        </w:numPr>
        <w:rPr>
          <w:rFonts w:ascii="Calibri" w:hAnsi="Calibri" w:cs="Calibri"/>
          <w:b/>
          <w:bCs/>
          <w:color w:val="215E99" w:themeColor="text2" w:themeTint="BF"/>
          <w:sz w:val="28"/>
          <w:szCs w:val="28"/>
        </w:rPr>
      </w:pPr>
      <w:bookmarkStart w:name="_Toc190354116" w:id="34"/>
      <w:r w:rsidRPr="52C5CEAB">
        <w:rPr>
          <w:rFonts w:ascii="Calibri" w:hAnsi="Calibri" w:cs="Calibri"/>
          <w:b/>
          <w:bCs/>
          <w:color w:val="215E99" w:themeColor="text2" w:themeTint="BF"/>
          <w:sz w:val="28"/>
          <w:szCs w:val="28"/>
        </w:rPr>
        <w:t>Regole ammissibilità della spesa</w:t>
      </w:r>
      <w:bookmarkEnd w:id="34"/>
    </w:p>
    <w:p w:rsidRPr="000A24C7" w:rsidR="0074106C" w:rsidP="00C65956" w:rsidRDefault="35CD470B" w14:paraId="55C6F99F" w14:textId="64FE14BA">
      <w:pPr>
        <w:adjustRightInd w:val="0"/>
        <w:spacing w:before="120" w:after="120" w:line="276" w:lineRule="auto"/>
        <w:jc w:val="both"/>
        <w:rPr>
          <w:rFonts w:ascii="Calibri" w:hAnsi="Calibri" w:cs="Calibri"/>
        </w:rPr>
      </w:pPr>
      <w:r w:rsidRPr="35CD470B">
        <w:rPr>
          <w:rFonts w:ascii="Calibri" w:hAnsi="Calibri" w:cs="Calibri"/>
        </w:rPr>
        <w:t xml:space="preserve">Come nella precedente programmazione il RDC stabilisce che l’ammissibilità delle spese venga determinata in conformità con le normative nazionali, salvo quanto previsto dalle disposizioni specifiche del Regolamento generale (articoli 63-67-68 RDC) e dai regolamenti specifici dei fondi. Vengono di seguito indicati alcuni principi generali della normativa comunitaria, utili a fornire le indicazioni fondamentali per la valutazione dell’ammissibilità delle operazioni relative al PN Cultura: </w:t>
      </w:r>
    </w:p>
    <w:p w:rsidRPr="000A24C7" w:rsidR="0074106C" w:rsidP="00C65956" w:rsidRDefault="00E16191" w14:paraId="6FE85778" w14:textId="29674AC6">
      <w:pPr>
        <w:adjustRightInd w:val="0"/>
        <w:spacing w:before="120" w:after="120" w:line="276" w:lineRule="auto"/>
        <w:jc w:val="both"/>
        <w:rPr>
          <w:rFonts w:ascii="Calibri" w:hAnsi="Calibri" w:cs="Calibri"/>
          <w:b/>
          <w:bCs/>
          <w:color w:val="0070C0"/>
          <w:u w:val="single"/>
        </w:rPr>
      </w:pPr>
      <w:r w:rsidRPr="000A24C7">
        <w:rPr>
          <w:rFonts w:ascii="Calibri" w:hAnsi="Calibri" w:cs="Calibri"/>
          <w:b/>
          <w:bCs/>
          <w:color w:val="0070C0"/>
          <w:u w:val="single"/>
        </w:rPr>
        <w:t>ELEGIBILITA’ DELLA SPESA</w:t>
      </w:r>
    </w:p>
    <w:p w:rsidRPr="000A24C7" w:rsidR="001056FD" w:rsidP="00C65956" w:rsidRDefault="35CD470B" w14:paraId="6628CED9" w14:textId="6A5ECE4E">
      <w:pPr>
        <w:adjustRightInd w:val="0"/>
        <w:spacing w:before="120" w:after="120" w:line="276" w:lineRule="auto"/>
        <w:jc w:val="both"/>
        <w:rPr>
          <w:rFonts w:ascii="Calibri" w:hAnsi="Calibri" w:cs="Calibri"/>
        </w:rPr>
      </w:pPr>
      <w:r w:rsidRPr="35CD470B">
        <w:rPr>
          <w:rFonts w:ascii="Calibri" w:hAnsi="Calibri" w:cs="Calibri"/>
        </w:rPr>
        <w:t xml:space="preserve">L’ammissibilità della spesa inizia il primo gennaio 2021 e termina il 31 dicembre 2029. Per essere ammissibili, quindi, le spese devono essere sostenute e pagate dal Beneficiario all'interno di questo periodo di ammissibilità. Se una spesa diventa ammissibile a seguito di una modifica del PN, il periodo di ammissibilità inizia dalla data di presentazione alla Commissione Europea della richiesta di modifica del PN. In caso di modifica rilevante, o di elementi non previsti dalla decisione della Commissione, il periodo di ammissibilità avrà inizio dall’entrata in vigore della nuova decisione che modifica il PN. </w:t>
      </w:r>
    </w:p>
    <w:p w:rsidRPr="000A24C7" w:rsidR="007A665F" w:rsidP="00C65956" w:rsidRDefault="007A665F" w14:paraId="10B4598A" w14:textId="367D3E06">
      <w:pPr>
        <w:adjustRightInd w:val="0"/>
        <w:spacing w:before="120" w:after="120" w:line="276" w:lineRule="auto"/>
        <w:jc w:val="both"/>
        <w:rPr>
          <w:rFonts w:ascii="Calibri" w:hAnsi="Calibri" w:cs="Calibri"/>
          <w:b/>
          <w:bCs/>
          <w:color w:val="0070C0"/>
          <w:u w:val="single"/>
        </w:rPr>
      </w:pPr>
      <w:r w:rsidRPr="000A24C7">
        <w:rPr>
          <w:rFonts w:ascii="Calibri" w:hAnsi="Calibri" w:cs="Calibri"/>
          <w:b/>
          <w:bCs/>
          <w:color w:val="0070C0"/>
          <w:u w:val="single"/>
        </w:rPr>
        <w:t>A</w:t>
      </w:r>
      <w:r w:rsidRPr="000A24C7" w:rsidR="00953FA0">
        <w:rPr>
          <w:rFonts w:ascii="Calibri" w:hAnsi="Calibri" w:cs="Calibri"/>
          <w:b/>
          <w:bCs/>
          <w:color w:val="0070C0"/>
          <w:u w:val="single"/>
        </w:rPr>
        <w:t xml:space="preserve">MMISSIBILITA’ DELLA SPESA </w:t>
      </w:r>
    </w:p>
    <w:p w:rsidRPr="000A24C7" w:rsidR="007A665F" w:rsidP="00C65956" w:rsidRDefault="35CD470B" w14:paraId="1591A97E" w14:textId="17FAFBF5">
      <w:pPr>
        <w:adjustRightInd w:val="0"/>
        <w:spacing w:before="120" w:after="120" w:line="276" w:lineRule="auto"/>
        <w:jc w:val="both"/>
        <w:rPr>
          <w:rFonts w:ascii="Calibri" w:hAnsi="Calibri" w:cs="Calibri"/>
        </w:rPr>
      </w:pPr>
      <w:r w:rsidRPr="35CD470B">
        <w:rPr>
          <w:rFonts w:ascii="Calibri" w:hAnsi="Calibri" w:cs="Calibri"/>
        </w:rPr>
        <w:t xml:space="preserve">Gli Stati Membri, secondo quanto scritto nell’art. del Reg. (UE) 2021/1060, hanno la responsabilità di definire le regole per l'ammissibilità delle spese, nel rispetto delle disposizioni generali del Regolamento, la cui conformità deve essere verificata per determinare l'ammissibilità delle spese stesse. Si segnala che durante le attività di controllo ci si atterrà a quanto scritto nel DPR 5 febbraio 2018 n. 22, che stabilisce le disposizioni relative all'ammissibilità delle spese cofinanziate dai fondi SIE per il periodo 2014-2020 (laddove applicabile) e del nuovo Regolamento relativo alla programmazione 2021-2027, ad oggi pubblicato nella forma di Schema di Decreto del Presidente della Repubblica concernente il Regolamento recante i criteri sull'ammissibilità della spesa del 22/07/2024. </w:t>
      </w:r>
    </w:p>
    <w:p w:rsidRPr="000A24C7" w:rsidR="00195CC5" w:rsidP="00C65956" w:rsidRDefault="00195CC5" w14:paraId="74BD22A3" w14:textId="77777777">
      <w:pPr>
        <w:spacing w:before="120" w:after="120" w:line="276" w:lineRule="auto"/>
        <w:rPr>
          <w:rFonts w:ascii="Calibri" w:hAnsi="Calibri" w:cs="Calibri"/>
        </w:rPr>
      </w:pPr>
    </w:p>
    <w:p w:rsidR="00D13747" w:rsidRDefault="00D13747" w14:paraId="227AB41E" w14:textId="78639B44">
      <w:pPr>
        <w:spacing w:after="160" w:line="259" w:lineRule="auto"/>
      </w:pPr>
      <w:r>
        <w:br w:type="page"/>
      </w:r>
    </w:p>
    <w:p w:rsidRPr="00237B70" w:rsidR="0010241E" w:rsidP="009C5076" w:rsidRDefault="52C5CEAB" w14:paraId="0FB30771" w14:textId="5BD7C6A1">
      <w:pPr>
        <w:pStyle w:val="Heading1"/>
        <w:numPr>
          <w:ilvl w:val="0"/>
          <w:numId w:val="45"/>
        </w:numPr>
        <w:rPr>
          <w:rFonts w:ascii="Calibri" w:hAnsi="Calibri" w:cs="Calibri"/>
          <w:b/>
          <w:bCs/>
          <w:color w:val="0070C0"/>
          <w:sz w:val="32"/>
          <w:szCs w:val="32"/>
        </w:rPr>
      </w:pPr>
      <w:bookmarkStart w:name="_Toc190354117" w:id="35"/>
      <w:r w:rsidRPr="52C5CEAB">
        <w:rPr>
          <w:rFonts w:ascii="Calibri" w:hAnsi="Calibri" w:cs="Calibri"/>
          <w:b/>
          <w:bCs/>
          <w:color w:val="0070C0"/>
          <w:sz w:val="32"/>
          <w:szCs w:val="32"/>
        </w:rPr>
        <w:t>Rilevazione delle irregolarità</w:t>
      </w:r>
      <w:bookmarkEnd w:id="35"/>
    </w:p>
    <w:p w:rsidRPr="000A24C7" w:rsidR="00620A04" w:rsidP="00C65956" w:rsidRDefault="004B2C78" w14:paraId="0BD8911B" w14:textId="60106D02">
      <w:pPr>
        <w:spacing w:before="120" w:after="120" w:line="276" w:lineRule="auto"/>
        <w:ind w:right="2"/>
        <w:jc w:val="both"/>
        <w:rPr>
          <w:rFonts w:ascii="Calibri" w:hAnsi="Calibri" w:cs="Calibri"/>
        </w:rPr>
      </w:pPr>
      <w:bookmarkStart w:name="_Hlk173339140" w:id="36"/>
      <w:r w:rsidRPr="000A24C7">
        <w:rPr>
          <w:rFonts w:ascii="Calibri" w:hAnsi="Calibri" w:cs="Calibri"/>
        </w:rPr>
        <w:t>Il Reg. (UE) 2021/1060 stabilisce agli articoli 69 e 74 che ogni Stato Membro</w:t>
      </w:r>
      <w:r w:rsidRPr="000A24C7" w:rsidR="004F161A">
        <w:rPr>
          <w:rFonts w:ascii="Calibri" w:hAnsi="Calibri" w:cs="Calibri"/>
        </w:rPr>
        <w:t xml:space="preserve"> </w:t>
      </w:r>
      <w:r w:rsidRPr="000A24C7" w:rsidR="00081D89">
        <w:rPr>
          <w:rFonts w:ascii="Calibri" w:hAnsi="Calibri" w:cs="Calibri"/>
        </w:rPr>
        <w:t xml:space="preserve">e le </w:t>
      </w:r>
      <w:r w:rsidRPr="000A24C7" w:rsidR="001D4D20">
        <w:rPr>
          <w:rFonts w:ascii="Calibri" w:hAnsi="Calibri" w:cs="Calibri"/>
        </w:rPr>
        <w:t>Autorità di Gestione adott</w:t>
      </w:r>
      <w:r w:rsidRPr="000A24C7" w:rsidR="00CE752B">
        <w:rPr>
          <w:rFonts w:ascii="Calibri" w:hAnsi="Calibri" w:cs="Calibri"/>
        </w:rPr>
        <w:t>ino le</w:t>
      </w:r>
      <w:r w:rsidRPr="000A24C7" w:rsidR="00BF42C1">
        <w:rPr>
          <w:rFonts w:ascii="Calibri" w:hAnsi="Calibri" w:cs="Calibri"/>
        </w:rPr>
        <w:t xml:space="preserve"> misure necessarie per prevenire, individuare, correggere e segnalare le irregolarità, incluse le frodi. </w:t>
      </w:r>
      <w:r w:rsidRPr="000A24C7" w:rsidR="00B171F6">
        <w:rPr>
          <w:rFonts w:ascii="Calibri" w:hAnsi="Calibri" w:cs="Calibri"/>
        </w:rPr>
        <w:t>L’art.69, paragrafo 12</w:t>
      </w:r>
      <w:r w:rsidRPr="000A24C7" w:rsidR="00652279">
        <w:rPr>
          <w:rFonts w:ascii="Calibri" w:hAnsi="Calibri" w:cs="Calibri"/>
        </w:rPr>
        <w:t xml:space="preserve"> del Regolamento determina, infatti, che l</w:t>
      </w:r>
      <w:r w:rsidRPr="000A24C7" w:rsidR="00BF42C1">
        <w:rPr>
          <w:rFonts w:ascii="Calibri" w:hAnsi="Calibri" w:cs="Calibri"/>
        </w:rPr>
        <w:t>'AdG è tenuta a segnalare le irregolarità</w:t>
      </w:r>
      <w:r w:rsidRPr="000A24C7" w:rsidR="00652279">
        <w:rPr>
          <w:rFonts w:ascii="Calibri" w:hAnsi="Calibri" w:cs="Calibri"/>
        </w:rPr>
        <w:t xml:space="preserve">, </w:t>
      </w:r>
      <w:r w:rsidRPr="000A24C7" w:rsidR="00E86799">
        <w:rPr>
          <w:rFonts w:ascii="Calibri" w:hAnsi="Calibri" w:cs="Calibri"/>
        </w:rPr>
        <w:t>l’Allegato XII definisce in maniera dettagliata le modalità</w:t>
      </w:r>
      <w:r w:rsidRPr="000A24C7" w:rsidR="00BF42C1">
        <w:rPr>
          <w:rFonts w:ascii="Calibri" w:hAnsi="Calibri" w:cs="Calibri"/>
        </w:rPr>
        <w:t>. In particolare</w:t>
      </w:r>
      <w:r w:rsidRPr="000A24C7" w:rsidR="4D8C5F29">
        <w:rPr>
          <w:rFonts w:ascii="Calibri" w:hAnsi="Calibri" w:cs="Calibri"/>
        </w:rPr>
        <w:t>,</w:t>
      </w:r>
      <w:r w:rsidRPr="000A24C7" w:rsidR="00BF42C1">
        <w:rPr>
          <w:rFonts w:ascii="Calibri" w:hAnsi="Calibri" w:cs="Calibri"/>
        </w:rPr>
        <w:t xml:space="preserve"> le irregolarità che devono essere segnalate alla Commissione </w:t>
      </w:r>
      <w:r w:rsidRPr="000A24C7" w:rsidR="001C2EB0">
        <w:rPr>
          <w:rFonts w:ascii="Calibri" w:hAnsi="Calibri" w:cs="Calibri"/>
        </w:rPr>
        <w:t xml:space="preserve">sono: </w:t>
      </w:r>
    </w:p>
    <w:bookmarkEnd w:id="36"/>
    <w:p w:rsidRPr="000A24C7" w:rsidR="00742670" w:rsidP="009C5076" w:rsidRDefault="001209AA" w14:paraId="4769DB34" w14:textId="4E51AAF9">
      <w:pPr>
        <w:pStyle w:val="ListParagraph"/>
        <w:numPr>
          <w:ilvl w:val="0"/>
          <w:numId w:val="15"/>
        </w:numPr>
        <w:spacing w:before="120" w:after="120" w:line="276" w:lineRule="auto"/>
        <w:ind w:left="426"/>
        <w:jc w:val="both"/>
        <w:rPr>
          <w:rFonts w:ascii="Calibri" w:hAnsi="Calibri" w:cs="Calibri"/>
        </w:rPr>
      </w:pPr>
      <w:r w:rsidRPr="0010508B">
        <w:rPr>
          <w:rFonts w:ascii="Calibri" w:hAnsi="Calibri" w:cs="Calibri"/>
        </w:rPr>
        <w:t>le irregolarità per le quali è stata redatta una valutazione preliminare scritta da un’autorità competente (amministrativa o giudiziaria), che ha confermato l’esistenza di un’irregolarità sulla base di fatti specifici, fermo restando che tale valutazione può essere rivista o annullata in caso di sviluppi nel procedimento amministrativo o giudiziario</w:t>
      </w:r>
      <w:r w:rsidRPr="000A24C7" w:rsidR="00E2BF90">
        <w:rPr>
          <w:rFonts w:ascii="Calibri" w:hAnsi="Calibri" w:cs="Calibri"/>
        </w:rPr>
        <w:t>,</w:t>
      </w:r>
    </w:p>
    <w:p w:rsidRPr="000A24C7" w:rsidR="00742670" w:rsidP="009C5076" w:rsidRDefault="00495C1A" w14:paraId="0E631C60" w14:textId="5A762F6B">
      <w:pPr>
        <w:pStyle w:val="ListParagraph"/>
        <w:numPr>
          <w:ilvl w:val="0"/>
          <w:numId w:val="15"/>
        </w:numPr>
        <w:spacing w:before="120" w:after="120" w:line="276" w:lineRule="auto"/>
        <w:ind w:left="426"/>
        <w:jc w:val="both"/>
        <w:rPr>
          <w:rFonts w:ascii="Calibri" w:hAnsi="Calibri" w:cs="Calibri"/>
        </w:rPr>
      </w:pPr>
      <w:r w:rsidRPr="000A24C7">
        <w:rPr>
          <w:rFonts w:ascii="Calibri" w:hAnsi="Calibri" w:cs="Calibri"/>
        </w:rPr>
        <w:t>l</w:t>
      </w:r>
      <w:r w:rsidRPr="0010508B" w:rsidR="001209AA">
        <w:rPr>
          <w:rFonts w:ascii="Calibri" w:hAnsi="Calibri" w:cs="Calibri"/>
        </w:rPr>
        <w:t>e irregolarità che comportano l’avvio di un procedimento amministrativo o giudiziario a livello nazionale per verificare l’esistenza di frodi o altri reati, come previsto dall’articolo 3, paragrafo 2, lettere a) e b), e dall’articolo 4, paragrafi 1), 2) e 3) della direttiva (UE) 2017/1371, nonché dall’articolo 1, paragrafo 1, lettera a) della convenzione basata sull’articolo K.3 del trattato sull'Unione europea per la tutela degli interessi finanziari delle Comunità europee, per quanto riguarda gli Stati membri non vincolati da tale direttiva</w:t>
      </w:r>
      <w:r w:rsidRPr="000A24C7" w:rsidR="793C6DFD">
        <w:rPr>
          <w:rFonts w:ascii="Calibri" w:hAnsi="Calibri" w:cs="Calibri"/>
        </w:rPr>
        <w:t>,</w:t>
      </w:r>
    </w:p>
    <w:p w:rsidRPr="000A24C7" w:rsidR="00BD62F9" w:rsidP="009C5076" w:rsidRDefault="003D52A0" w14:paraId="494E64BD" w14:textId="0ECB2968">
      <w:pPr>
        <w:pStyle w:val="ListParagraph"/>
        <w:numPr>
          <w:ilvl w:val="0"/>
          <w:numId w:val="15"/>
        </w:numPr>
        <w:spacing w:before="120" w:after="120" w:line="276" w:lineRule="auto"/>
        <w:ind w:left="426"/>
        <w:jc w:val="both"/>
        <w:rPr>
          <w:rFonts w:ascii="Calibri" w:hAnsi="Calibri" w:cs="Calibri"/>
        </w:rPr>
      </w:pPr>
      <w:r w:rsidRPr="000A24C7">
        <w:rPr>
          <w:rFonts w:ascii="Calibri" w:hAnsi="Calibri" w:cs="Calibri"/>
        </w:rPr>
        <w:t>l</w:t>
      </w:r>
      <w:r w:rsidRPr="0010508B" w:rsidR="001209AA">
        <w:rPr>
          <w:rFonts w:ascii="Calibri" w:hAnsi="Calibri" w:cs="Calibri"/>
        </w:rPr>
        <w:t>e irregolarità che si verificano prima di un fallimento</w:t>
      </w:r>
      <w:r w:rsidRPr="000A24C7" w:rsidR="096D121F">
        <w:rPr>
          <w:rFonts w:ascii="Calibri" w:hAnsi="Calibri" w:cs="Calibri"/>
        </w:rPr>
        <w:t>,</w:t>
      </w:r>
    </w:p>
    <w:p w:rsidRPr="000A24C7" w:rsidR="001209AA" w:rsidP="009C5076" w:rsidRDefault="00EC03B7" w14:paraId="2E128675" w14:textId="269D21D7">
      <w:pPr>
        <w:pStyle w:val="ListParagraph"/>
        <w:numPr>
          <w:ilvl w:val="0"/>
          <w:numId w:val="15"/>
        </w:numPr>
        <w:spacing w:before="120" w:after="120" w:line="276" w:lineRule="auto"/>
        <w:ind w:left="426"/>
        <w:jc w:val="both"/>
        <w:rPr>
          <w:rFonts w:ascii="Calibri" w:hAnsi="Calibri" w:cs="Calibri"/>
        </w:rPr>
      </w:pPr>
      <w:r w:rsidRPr="000A24C7">
        <w:rPr>
          <w:rFonts w:ascii="Calibri" w:hAnsi="Calibri" w:cs="Calibri"/>
        </w:rPr>
        <w:t>u</w:t>
      </w:r>
      <w:r w:rsidRPr="000A24C7" w:rsidR="001209AA">
        <w:rPr>
          <w:rFonts w:ascii="Calibri" w:hAnsi="Calibri" w:cs="Calibri"/>
        </w:rPr>
        <w:t>n’irregolarità singola o un insieme di irregolarità per le quali la Commissione invia allo Stato membro una richiesta scritta di informazioni a seguito di una segnalazione iniziale da parte di quest'ultimo.</w:t>
      </w:r>
    </w:p>
    <w:p w:rsidRPr="000A24C7" w:rsidR="00742670" w:rsidP="00C65956" w:rsidRDefault="001209AA" w14:paraId="1FF67707" w14:textId="77777777">
      <w:pPr>
        <w:spacing w:before="120" w:after="120" w:line="276" w:lineRule="auto"/>
        <w:jc w:val="both"/>
        <w:rPr>
          <w:rFonts w:ascii="Calibri" w:hAnsi="Calibri" w:cs="Calibri"/>
        </w:rPr>
      </w:pPr>
      <w:r w:rsidRPr="000A24C7">
        <w:rPr>
          <w:rFonts w:ascii="Calibri" w:hAnsi="Calibri" w:cs="Calibri"/>
        </w:rPr>
        <w:t>Inoltre, come precisato nel punto 1.2 dell’allegato XII del Reg. (UE) 2021/1060, alcune irregolarità sono esenti dall’obbligo di segnalazione:</w:t>
      </w:r>
    </w:p>
    <w:p w:rsidRPr="000A24C7" w:rsidR="00742670" w:rsidP="009C5076" w:rsidRDefault="00EC03B7" w14:paraId="115C0BF0" w14:textId="54447B2E">
      <w:pPr>
        <w:pStyle w:val="ListParagraph"/>
        <w:numPr>
          <w:ilvl w:val="0"/>
          <w:numId w:val="15"/>
        </w:numPr>
        <w:spacing w:before="120" w:after="120" w:line="276" w:lineRule="auto"/>
        <w:ind w:left="426"/>
        <w:jc w:val="both"/>
        <w:rPr>
          <w:rFonts w:ascii="Calibri" w:hAnsi="Calibri" w:cs="Calibri"/>
        </w:rPr>
      </w:pPr>
      <w:r w:rsidRPr="000A24C7">
        <w:rPr>
          <w:rFonts w:ascii="Calibri" w:hAnsi="Calibri" w:cs="Calibri"/>
        </w:rPr>
        <w:t>i</w:t>
      </w:r>
      <w:r w:rsidRPr="0010508B" w:rsidR="001209AA">
        <w:rPr>
          <w:rFonts w:ascii="Calibri" w:hAnsi="Calibri" w:cs="Calibri"/>
        </w:rPr>
        <w:t>rregolarità relative a importi inferiori a 10.000,00 € di contributo dei Fondi, fatta eccezione per i casi in cui irregolarità collegate tra loro superano tale soglia di 10.000,00 €, anche se singolarmente non la raggiungono</w:t>
      </w:r>
      <w:r w:rsidRPr="000A24C7" w:rsidR="7EC0B624">
        <w:rPr>
          <w:rFonts w:ascii="Calibri" w:hAnsi="Calibri" w:cs="Calibri"/>
        </w:rPr>
        <w:t>,</w:t>
      </w:r>
    </w:p>
    <w:p w:rsidRPr="000A24C7" w:rsidR="00742670" w:rsidP="009C5076" w:rsidRDefault="00EC03B7" w14:paraId="728FEB3D" w14:textId="680AF461">
      <w:pPr>
        <w:pStyle w:val="ListParagraph"/>
        <w:numPr>
          <w:ilvl w:val="0"/>
          <w:numId w:val="15"/>
        </w:numPr>
        <w:spacing w:before="120" w:after="120" w:line="276" w:lineRule="auto"/>
        <w:ind w:left="426"/>
        <w:jc w:val="both"/>
        <w:rPr>
          <w:rFonts w:ascii="Calibri" w:hAnsi="Calibri" w:cs="Calibri"/>
        </w:rPr>
      </w:pPr>
      <w:r w:rsidRPr="000A24C7">
        <w:rPr>
          <w:rFonts w:ascii="Calibri" w:hAnsi="Calibri" w:cs="Calibri"/>
        </w:rPr>
        <w:t>c</w:t>
      </w:r>
      <w:r w:rsidRPr="0010508B" w:rsidR="001209AA">
        <w:rPr>
          <w:rFonts w:ascii="Calibri" w:hAnsi="Calibri" w:cs="Calibri"/>
        </w:rPr>
        <w:t>asi in cui l’irregolarità riguarda solo la mancata esecuzione, totale o parziale, di un'operazione finanziata, a causa del fallimento non fraudolento del beneficiario</w:t>
      </w:r>
      <w:r w:rsidRPr="000A24C7" w:rsidR="38723C04">
        <w:rPr>
          <w:rFonts w:ascii="Calibri" w:hAnsi="Calibri" w:cs="Calibri"/>
        </w:rPr>
        <w:t>,</w:t>
      </w:r>
    </w:p>
    <w:p w:rsidRPr="000A24C7" w:rsidR="00742670" w:rsidP="009C5076" w:rsidRDefault="00EC03B7" w14:paraId="3B5E3D6D" w14:textId="005035B1">
      <w:pPr>
        <w:pStyle w:val="ListParagraph"/>
        <w:numPr>
          <w:ilvl w:val="0"/>
          <w:numId w:val="15"/>
        </w:numPr>
        <w:spacing w:before="120" w:after="120" w:line="276" w:lineRule="auto"/>
        <w:ind w:left="426"/>
        <w:jc w:val="both"/>
        <w:rPr>
          <w:rFonts w:ascii="Calibri" w:hAnsi="Calibri" w:cs="Calibri"/>
        </w:rPr>
      </w:pPr>
      <w:r w:rsidRPr="000A24C7">
        <w:rPr>
          <w:rFonts w:ascii="Calibri" w:hAnsi="Calibri" w:cs="Calibri"/>
        </w:rPr>
        <w:t>c</w:t>
      </w:r>
      <w:r w:rsidRPr="0010508B" w:rsidR="001209AA">
        <w:rPr>
          <w:rFonts w:ascii="Calibri" w:hAnsi="Calibri" w:cs="Calibri"/>
        </w:rPr>
        <w:t>asi segnalati spontaneamente dal beneficiario all’autorità di gestione o all’autorità incaricata della funzione contabile prima che l’irregolarità venga rilevata da una di queste autorità, sia prima che dopo il pagamento del contributo pubblico</w:t>
      </w:r>
      <w:r w:rsidRPr="000A24C7" w:rsidR="2161A5AE">
        <w:rPr>
          <w:rFonts w:ascii="Calibri" w:hAnsi="Calibri" w:cs="Calibri"/>
        </w:rPr>
        <w:t>,</w:t>
      </w:r>
    </w:p>
    <w:p w:rsidRPr="000A24C7" w:rsidR="001209AA" w:rsidP="009C5076" w:rsidRDefault="00EC03B7" w14:paraId="17BD0375" w14:textId="7D28C7DB">
      <w:pPr>
        <w:pStyle w:val="ListParagraph"/>
        <w:numPr>
          <w:ilvl w:val="0"/>
          <w:numId w:val="15"/>
        </w:numPr>
        <w:spacing w:before="120" w:after="120" w:line="276" w:lineRule="auto"/>
        <w:ind w:left="426"/>
        <w:jc w:val="both"/>
        <w:rPr>
          <w:rFonts w:ascii="Calibri" w:hAnsi="Calibri" w:cs="Calibri"/>
        </w:rPr>
      </w:pPr>
      <w:r w:rsidRPr="000A24C7">
        <w:rPr>
          <w:rFonts w:ascii="Calibri" w:hAnsi="Calibri" w:cs="Calibri"/>
        </w:rPr>
        <w:t>c</w:t>
      </w:r>
      <w:r w:rsidRPr="000A24C7" w:rsidR="001209AA">
        <w:rPr>
          <w:rFonts w:ascii="Calibri" w:hAnsi="Calibri" w:cs="Calibri"/>
        </w:rPr>
        <w:t>asi identificati e corretti dall’</w:t>
      </w:r>
      <w:r w:rsidRPr="000A24C7">
        <w:rPr>
          <w:rFonts w:ascii="Calibri" w:hAnsi="Calibri" w:cs="Calibri"/>
        </w:rPr>
        <w:t>A</w:t>
      </w:r>
      <w:r w:rsidRPr="000A24C7" w:rsidR="001209AA">
        <w:rPr>
          <w:rFonts w:ascii="Calibri" w:hAnsi="Calibri" w:cs="Calibri"/>
        </w:rPr>
        <w:t xml:space="preserve">utorità di </w:t>
      </w:r>
      <w:r w:rsidRPr="000A24C7">
        <w:rPr>
          <w:rFonts w:ascii="Calibri" w:hAnsi="Calibri" w:cs="Calibri"/>
        </w:rPr>
        <w:t>G</w:t>
      </w:r>
      <w:r w:rsidRPr="000A24C7" w:rsidR="001209AA">
        <w:rPr>
          <w:rFonts w:ascii="Calibri" w:hAnsi="Calibri" w:cs="Calibri"/>
        </w:rPr>
        <w:t>estione prima che vengano inclusi in una domanda di pagamento inviata alla Commissione.</w:t>
      </w:r>
    </w:p>
    <w:p w:rsidRPr="001209AA" w:rsidR="001209AA" w:rsidP="00C65956" w:rsidRDefault="001209AA" w14:paraId="493A67E2" w14:textId="77777777">
      <w:pPr>
        <w:spacing w:before="120" w:after="120" w:line="276" w:lineRule="auto"/>
        <w:jc w:val="both"/>
        <w:rPr>
          <w:rFonts w:ascii="Calibri" w:hAnsi="Calibri" w:cs="Calibri"/>
        </w:rPr>
      </w:pPr>
      <w:r w:rsidRPr="001209AA">
        <w:rPr>
          <w:rFonts w:ascii="Calibri" w:hAnsi="Calibri" w:cs="Calibri"/>
        </w:rPr>
        <w:t>Le irregolarità possono derivare da qualsiasi violazione delle disposizioni del diritto comunitario, conseguente ad azioni o omissioni da parte di un beneficiario, che possa danneggiare il bilancio delle Comunità o i bilanci gestiti da esse, comportando una riduzione o cancellazione delle entrate da risorse proprie percepite per conto delle Comunità o spese indebite.</w:t>
      </w:r>
    </w:p>
    <w:p w:rsidRPr="001209AA" w:rsidR="001209AA" w:rsidP="00C65956" w:rsidRDefault="001209AA" w14:paraId="60B034C6" w14:textId="77777777">
      <w:pPr>
        <w:spacing w:before="120" w:after="120" w:line="276" w:lineRule="auto"/>
        <w:jc w:val="both"/>
        <w:rPr>
          <w:rFonts w:ascii="Calibri" w:hAnsi="Calibri" w:cs="Calibri"/>
        </w:rPr>
      </w:pPr>
      <w:r w:rsidRPr="001209AA">
        <w:rPr>
          <w:rFonts w:ascii="Calibri" w:hAnsi="Calibri" w:cs="Calibri"/>
        </w:rPr>
        <w:t xml:space="preserve">Le irregolarità possono essere identificate o segnalate da vari soggetti, tra cui i controllori desk e in loco, le autorità di audit, le autorità contabili, la Commissione e la </w:t>
      </w:r>
      <w:proofErr w:type="gramStart"/>
      <w:r w:rsidRPr="001209AA">
        <w:rPr>
          <w:rFonts w:ascii="Calibri" w:hAnsi="Calibri" w:cs="Calibri"/>
        </w:rPr>
        <w:t>Corte dei Conti</w:t>
      </w:r>
      <w:proofErr w:type="gramEnd"/>
      <w:r w:rsidRPr="001209AA">
        <w:rPr>
          <w:rFonts w:ascii="Calibri" w:hAnsi="Calibri" w:cs="Calibri"/>
        </w:rPr>
        <w:t xml:space="preserve"> europea. In ogni caso, qualora sia necessario, l’Autorità di Gestione intraprenderà le azioni più appropriate e gli accertamenti necessari per determinare l’esito e l'importo delle somme da decurtare dal bilancio comunitario. Dopo aver ricevuto tutte le segnalazioni da chiunque sia coinvolto nell'attuazione del Programma, l’Autorità di Gestione procederà con l'analisi delle diverse situazioni e restituirà le informazioni pertinenti, insieme alle opportune indicazioni, ai soggetti coinvolti, compresi i beneficiari direttamente interessati.</w:t>
      </w:r>
    </w:p>
    <w:p w:rsidRPr="001209AA" w:rsidR="001209AA" w:rsidP="00C65956" w:rsidRDefault="001209AA" w14:paraId="62E56A71" w14:textId="15DB3916">
      <w:pPr>
        <w:spacing w:before="120" w:after="120" w:line="276" w:lineRule="auto"/>
        <w:jc w:val="both"/>
        <w:rPr>
          <w:rFonts w:ascii="Calibri" w:hAnsi="Calibri" w:cs="Calibri"/>
        </w:rPr>
      </w:pPr>
      <w:r w:rsidRPr="001209AA">
        <w:rPr>
          <w:rFonts w:ascii="Calibri" w:hAnsi="Calibri" w:cs="Calibri"/>
        </w:rPr>
        <w:t>Nel caso in cui le spese irregolari non siano ancora state certificate alla Commissione europea, l’Autorità di Gestione procederà alla rettifica con il beneficiario. Se invece l’irregolarità è riscontrata su spese già certificate, l’Autorità di Gestione, conformemente ai Regolamenti, comunicherà all'Organismo che svolge la funzione contabile gli importi da ritirare, avviando il processo di decertificazione</w:t>
      </w:r>
      <w:r w:rsidR="000A24C7">
        <w:rPr>
          <w:rFonts w:ascii="Calibri" w:hAnsi="Calibri" w:cs="Calibri"/>
        </w:rPr>
        <w:t>.</w:t>
      </w:r>
    </w:p>
    <w:p w:rsidRPr="00053CC1" w:rsidR="00D50EFB" w:rsidP="009C5076" w:rsidRDefault="52C5CEAB" w14:paraId="190D2129" w14:textId="3C987DF0">
      <w:pPr>
        <w:pStyle w:val="Heading2"/>
        <w:numPr>
          <w:ilvl w:val="1"/>
          <w:numId w:val="45"/>
        </w:numPr>
        <w:rPr>
          <w:b/>
          <w:bCs/>
          <w:color w:val="215E99" w:themeColor="text2" w:themeTint="BF"/>
        </w:rPr>
      </w:pPr>
      <w:bookmarkStart w:name="_Toc189126673" w:id="37"/>
      <w:bookmarkStart w:name="_Toc189126713" w:id="38"/>
      <w:bookmarkStart w:name="_Toc189126674" w:id="39"/>
      <w:bookmarkStart w:name="_Toc189126714" w:id="40"/>
      <w:bookmarkStart w:name="_Toc189126675" w:id="41"/>
      <w:bookmarkStart w:name="_Toc189126715" w:id="42"/>
      <w:bookmarkStart w:name="_Toc189126676" w:id="43"/>
      <w:bookmarkStart w:name="_Toc189126716" w:id="44"/>
      <w:bookmarkStart w:name="_Toc189126677" w:id="45"/>
      <w:bookmarkStart w:name="_Toc189126717" w:id="46"/>
      <w:bookmarkStart w:name="_Toc190354118" w:id="47"/>
      <w:bookmarkEnd w:id="37"/>
      <w:bookmarkEnd w:id="38"/>
      <w:bookmarkEnd w:id="39"/>
      <w:bookmarkEnd w:id="40"/>
      <w:bookmarkEnd w:id="41"/>
      <w:bookmarkEnd w:id="42"/>
      <w:bookmarkEnd w:id="43"/>
      <w:bookmarkEnd w:id="44"/>
      <w:bookmarkEnd w:id="45"/>
      <w:bookmarkEnd w:id="46"/>
      <w:r w:rsidRPr="52C5CEAB">
        <w:rPr>
          <w:rFonts w:ascii="Calibri" w:hAnsi="Calibri" w:cs="Calibri"/>
          <w:b/>
          <w:bCs/>
          <w:color w:val="215E99" w:themeColor="text2" w:themeTint="BF"/>
          <w:sz w:val="28"/>
          <w:szCs w:val="28"/>
        </w:rPr>
        <w:t>Gruppo di lavoro di valutazione dei rischi di frode</w:t>
      </w:r>
      <w:bookmarkEnd w:id="47"/>
    </w:p>
    <w:p w:rsidRPr="004178F2" w:rsidR="00E67052" w:rsidP="52C5CEAB" w:rsidRDefault="35CD470B" w14:paraId="45D9B4CA" w14:textId="00730C4E">
      <w:pPr>
        <w:autoSpaceDE w:val="0"/>
        <w:autoSpaceDN w:val="0"/>
        <w:adjustRightInd w:val="0"/>
        <w:spacing w:before="120" w:after="120" w:line="276" w:lineRule="auto"/>
        <w:jc w:val="both"/>
        <w:rPr>
          <w:rStyle w:val="cf11"/>
          <w:rFonts w:ascii="Calibri" w:hAnsi="Calibri" w:cs="Calibri" w:eastAsiaTheme="majorEastAsia"/>
          <w:sz w:val="24"/>
          <w:szCs w:val="24"/>
        </w:rPr>
      </w:pPr>
      <w:r w:rsidRPr="35CD470B">
        <w:rPr>
          <w:rFonts w:ascii="Calibri" w:hAnsi="Calibri" w:cs="Calibri"/>
        </w:rPr>
        <w:t>In continuità con la precedente programmazione, l’Autorità di Gestione ha istituito con apposto Decreto, pubblicato sul sito web del PN Cultura 21-27, il “</w:t>
      </w:r>
      <w:hyperlink r:id="rId21">
        <w:r w:rsidRPr="35CD470B">
          <w:rPr>
            <w:rStyle w:val="Hyperlink"/>
            <w:rFonts w:ascii="Calibri" w:hAnsi="Calibri" w:cs="Calibri"/>
          </w:rPr>
          <w:t>Gruppo di lavoro per la valutazione dei rischi di frode</w:t>
        </w:r>
      </w:hyperlink>
      <w:r w:rsidRPr="35CD470B">
        <w:rPr>
          <w:rFonts w:ascii="Calibri" w:hAnsi="Calibri" w:cs="Calibri"/>
        </w:rPr>
        <w:t xml:space="preserve">”, tale gruppo ha il compito di </w:t>
      </w:r>
      <w:r w:rsidRPr="35CD470B">
        <w:rPr>
          <w:rStyle w:val="cf11"/>
          <w:rFonts w:ascii="Calibri" w:hAnsi="Calibri" w:cs="Calibri" w:eastAsiaTheme="majorEastAsia"/>
          <w:sz w:val="24"/>
          <w:szCs w:val="24"/>
        </w:rPr>
        <w:t>incentivare la condivisione delle procedure di prevenzione dei casi di frode, corruzione e doppio finanziamento e le corrette modalità per il trattamento di eventuali irregolarità rilevate, nell’ambito del PN Cultura. Il gruppo di lavoro ha la responsabilità di predisporre una “valutazione del rischio di frode del PN”, sulla base delle misure di prevenzione, individuazione e mitigazione del rischio attuate a livello centrale. Le attività del Gruppo Operativo sono finalizzate all’autovalutazione dell’impatto e della probabilità del rischio di frode, nonché all’individuazione e implementazione di controlli mitiganti proporzionati, volti alla riduzione dei rischi residui identificati mediante l’esercizio di autovalutazione, e sono svolte in stretto raccordo con tutti i soggetti istituzionali, interni ed esterni all’Amministrazione, competenti nella prevenzione, rilevamento e correzione delle irregolarità e del rischio di frode.</w:t>
      </w:r>
    </w:p>
    <w:p w:rsidRPr="00C65956" w:rsidR="0034756D" w:rsidP="00C65956" w:rsidRDefault="0034756D" w14:paraId="48C49C42" w14:textId="77777777">
      <w:pPr>
        <w:spacing w:before="120" w:after="120" w:line="276" w:lineRule="auto"/>
        <w:jc w:val="both"/>
        <w:rPr>
          <w:rFonts w:ascii="Calibri" w:hAnsi="Calibri" w:cs="Calibri"/>
          <w:color w:val="0070C0"/>
        </w:rPr>
      </w:pPr>
      <w:r w:rsidRPr="00C65956">
        <w:rPr>
          <w:rStyle w:val="cf21"/>
          <w:rFonts w:ascii="Calibri" w:hAnsi="Calibri" w:cs="Calibri" w:eastAsiaTheme="majorEastAsia"/>
          <w:color w:val="0070C0"/>
          <w:sz w:val="24"/>
          <w:szCs w:val="24"/>
        </w:rPr>
        <w:t>Il Gruppo di Lavoro svolge le seguenti funzioni:</w:t>
      </w:r>
    </w:p>
    <w:p w:rsidRPr="004178F2" w:rsidR="00F962C1" w:rsidP="009C5076" w:rsidRDefault="003A32CB" w14:paraId="0F6A62E8" w14:textId="1ABAD306">
      <w:pPr>
        <w:pStyle w:val="pf1"/>
        <w:numPr>
          <w:ilvl w:val="0"/>
          <w:numId w:val="24"/>
        </w:numPr>
        <w:autoSpaceDE w:val="0"/>
        <w:autoSpaceDN w:val="0"/>
        <w:adjustRightInd w:val="0"/>
        <w:spacing w:before="120" w:beforeAutospacing="0" w:after="120" w:afterAutospacing="0" w:line="276" w:lineRule="auto"/>
        <w:ind w:left="284" w:hanging="284"/>
        <w:jc w:val="both"/>
        <w:rPr>
          <w:rStyle w:val="cf11"/>
          <w:rFonts w:ascii="Calibri" w:hAnsi="Calibri" w:cs="Calibri" w:eastAsiaTheme="majorEastAsia"/>
          <w:sz w:val="24"/>
          <w:szCs w:val="24"/>
          <w14:ligatures w14:val="standardContextual"/>
        </w:rPr>
      </w:pPr>
      <w:r w:rsidRPr="35CD470B">
        <w:rPr>
          <w:rStyle w:val="cf11"/>
          <w:rFonts w:ascii="Calibri" w:hAnsi="Calibri" w:cs="Calibri" w:eastAsiaTheme="majorEastAsia"/>
          <w:sz w:val="24"/>
          <w:szCs w:val="24"/>
          <w14:ligatures w14:val="standardContextual"/>
        </w:rPr>
        <w:t>eseguirà e approverà un’autovalutazione del profilo di rischio di frode e delle correlate misure di contrasto con cadenza almeno annuale o in relazione al verificarsi di eventi o al riscontro di</w:t>
      </w:r>
      <w:r w:rsidRPr="35CD470B" w:rsidR="00F962C1">
        <w:rPr>
          <w:rStyle w:val="cf11"/>
          <w:rFonts w:ascii="Calibri" w:hAnsi="Calibri" w:cs="Calibri" w:eastAsiaTheme="majorEastAsia"/>
          <w:sz w:val="24"/>
          <w:szCs w:val="24"/>
          <w14:ligatures w14:val="standardContextual"/>
        </w:rPr>
        <w:t xml:space="preserve"> </w:t>
      </w:r>
      <w:r w:rsidRPr="35CD470B">
        <w:rPr>
          <w:rStyle w:val="cf11"/>
          <w:rFonts w:ascii="Calibri" w:hAnsi="Calibri" w:cs="Calibri" w:eastAsiaTheme="majorEastAsia"/>
          <w:sz w:val="24"/>
          <w:szCs w:val="24"/>
          <w14:ligatures w14:val="standardContextual"/>
        </w:rPr>
        <w:t>informazioni che possono incidere sull’autovalutazione ovvero richiedere un aggiornamento della stessa;</w:t>
      </w:r>
    </w:p>
    <w:p w:rsidRPr="004178F2" w:rsidR="00F962C1" w:rsidP="009C5076" w:rsidRDefault="003A32CB" w14:paraId="71B01B9C" w14:textId="77777777">
      <w:pPr>
        <w:pStyle w:val="pf1"/>
        <w:numPr>
          <w:ilvl w:val="0"/>
          <w:numId w:val="24"/>
        </w:numPr>
        <w:autoSpaceDE w:val="0"/>
        <w:autoSpaceDN w:val="0"/>
        <w:adjustRightInd w:val="0"/>
        <w:spacing w:before="120" w:beforeAutospacing="0" w:after="120" w:afterAutospacing="0" w:line="276" w:lineRule="auto"/>
        <w:ind w:left="284" w:hanging="284"/>
        <w:jc w:val="both"/>
        <w:rPr>
          <w:rStyle w:val="cf11"/>
          <w:rFonts w:ascii="Calibri" w:hAnsi="Calibri" w:cs="Calibri" w:eastAsiaTheme="majorEastAsia"/>
          <w:sz w:val="24"/>
          <w:szCs w:val="24"/>
        </w:rPr>
      </w:pPr>
      <w:r w:rsidRPr="52C5CEAB">
        <w:rPr>
          <w:rStyle w:val="cf11"/>
          <w:rFonts w:ascii="Calibri" w:hAnsi="Calibri" w:cs="Calibri" w:eastAsiaTheme="majorEastAsia"/>
          <w:sz w:val="24"/>
          <w:szCs w:val="24"/>
          <w14:ligatures w14:val="standardContextual"/>
        </w:rPr>
        <w:t>eseguirà e approverà le eventuali azioni di miglioramento e/o correttive;</w:t>
      </w:r>
    </w:p>
    <w:p w:rsidRPr="004178F2" w:rsidR="00F962C1" w:rsidP="009C5076" w:rsidRDefault="003A32CB" w14:paraId="062C2951" w14:textId="77777777">
      <w:pPr>
        <w:pStyle w:val="pf1"/>
        <w:numPr>
          <w:ilvl w:val="0"/>
          <w:numId w:val="24"/>
        </w:numPr>
        <w:autoSpaceDE w:val="0"/>
        <w:autoSpaceDN w:val="0"/>
        <w:adjustRightInd w:val="0"/>
        <w:spacing w:before="120" w:beforeAutospacing="0" w:after="120" w:afterAutospacing="0" w:line="276" w:lineRule="auto"/>
        <w:ind w:left="284" w:hanging="284"/>
        <w:jc w:val="both"/>
        <w:rPr>
          <w:rStyle w:val="cf11"/>
          <w:rFonts w:ascii="Calibri" w:hAnsi="Calibri" w:cs="Calibri" w:eastAsiaTheme="majorEastAsia"/>
          <w:sz w:val="24"/>
          <w:szCs w:val="24"/>
          <w14:ligatures w14:val="standardContextual"/>
        </w:rPr>
      </w:pPr>
      <w:r w:rsidRPr="52C5CEAB">
        <w:rPr>
          <w:rStyle w:val="cf11"/>
          <w:rFonts w:ascii="Calibri" w:hAnsi="Calibri" w:cs="Calibri" w:eastAsiaTheme="majorEastAsia"/>
          <w:sz w:val="24"/>
          <w:szCs w:val="24"/>
          <w14:ligatures w14:val="standardContextual"/>
        </w:rPr>
        <w:t>trasmette gli esiti della propria valutazione anche all’Autorità Contabile per</w:t>
      </w:r>
      <w:r w:rsidRPr="52C5CEAB" w:rsidR="00F962C1">
        <w:rPr>
          <w:rStyle w:val="cf11"/>
          <w:rFonts w:ascii="Calibri" w:hAnsi="Calibri" w:cs="Calibri" w:eastAsiaTheme="majorEastAsia"/>
          <w:sz w:val="24"/>
          <w:szCs w:val="24"/>
          <w14:ligatures w14:val="standardContextual"/>
        </w:rPr>
        <w:t xml:space="preserve"> </w:t>
      </w:r>
      <w:r w:rsidRPr="52C5CEAB">
        <w:rPr>
          <w:rStyle w:val="cf11"/>
          <w:rFonts w:ascii="Calibri" w:hAnsi="Calibri" w:cs="Calibri" w:eastAsiaTheme="majorEastAsia"/>
          <w:sz w:val="24"/>
          <w:szCs w:val="24"/>
          <w14:ligatures w14:val="standardContextual"/>
        </w:rPr>
        <w:t>osservazioni e proposte di integrazione del Si.Ge.Co.;</w:t>
      </w:r>
    </w:p>
    <w:p w:rsidR="003A32CB" w:rsidP="009C5076" w:rsidRDefault="003A32CB" w14:paraId="7B7938E0" w14:textId="4D82B630">
      <w:pPr>
        <w:pStyle w:val="pf1"/>
        <w:numPr>
          <w:ilvl w:val="0"/>
          <w:numId w:val="24"/>
        </w:numPr>
        <w:autoSpaceDE w:val="0"/>
        <w:autoSpaceDN w:val="0"/>
        <w:adjustRightInd w:val="0"/>
        <w:spacing w:before="120" w:beforeAutospacing="0" w:after="120" w:afterAutospacing="0" w:line="276" w:lineRule="auto"/>
        <w:ind w:left="284"/>
        <w:jc w:val="both"/>
        <w:rPr>
          <w:rStyle w:val="cf11"/>
          <w:rFonts w:ascii="Calibri" w:hAnsi="Calibri" w:cs="Calibri" w:eastAsiaTheme="majorEastAsia"/>
          <w:sz w:val="24"/>
          <w:szCs w:val="24"/>
        </w:rPr>
      </w:pPr>
      <w:r w:rsidRPr="35CD470B">
        <w:rPr>
          <w:rStyle w:val="cf11"/>
          <w:rFonts w:ascii="Calibri" w:hAnsi="Calibri" w:cs="Calibri" w:eastAsiaTheme="majorEastAsia"/>
          <w:sz w:val="24"/>
          <w:szCs w:val="24"/>
          <w14:ligatures w14:val="standardContextual"/>
        </w:rPr>
        <w:t>potrà avvalersi di professionalità tra il personale, interno o esterno, in forza</w:t>
      </w:r>
      <w:r w:rsidRPr="35CD470B" w:rsidR="00F962C1">
        <w:rPr>
          <w:rStyle w:val="cf11"/>
          <w:rFonts w:ascii="Calibri" w:hAnsi="Calibri" w:cs="Calibri" w:eastAsiaTheme="majorEastAsia"/>
          <w:sz w:val="24"/>
          <w:szCs w:val="24"/>
          <w14:ligatures w14:val="standardContextual"/>
        </w:rPr>
        <w:t xml:space="preserve"> </w:t>
      </w:r>
      <w:r w:rsidRPr="35CD470B">
        <w:rPr>
          <w:rStyle w:val="cf11"/>
          <w:rFonts w:ascii="Calibri" w:hAnsi="Calibri" w:cs="Calibri" w:eastAsiaTheme="majorEastAsia"/>
          <w:sz w:val="24"/>
          <w:szCs w:val="24"/>
          <w14:ligatures w14:val="standardContextual"/>
        </w:rPr>
        <w:t>all’Autorità di Gestione e all’Autorità di Contabile per approfondire specifiche questioni o tematiche ai fini del</w:t>
      </w:r>
      <w:r w:rsidRPr="35CD470B">
        <w:rPr>
          <w:rStyle w:val="cf11"/>
          <w:rFonts w:ascii="Calibri" w:hAnsi="Calibri" w:cs="Calibri" w:eastAsiaTheme="majorEastAsia"/>
          <w:sz w:val="24"/>
          <w:szCs w:val="24"/>
        </w:rPr>
        <w:t>lo</w:t>
      </w:r>
      <w:r w:rsidRPr="35CD470B" w:rsidR="00F962C1">
        <w:rPr>
          <w:rStyle w:val="cf11"/>
          <w:rFonts w:ascii="Calibri" w:hAnsi="Calibri" w:cs="Calibri" w:eastAsiaTheme="majorEastAsia"/>
          <w:sz w:val="24"/>
          <w:szCs w:val="24"/>
        </w:rPr>
        <w:t xml:space="preserve"> </w:t>
      </w:r>
      <w:r w:rsidRPr="35CD470B">
        <w:rPr>
          <w:rStyle w:val="cf11"/>
          <w:rFonts w:ascii="Calibri" w:hAnsi="Calibri" w:cs="Calibri" w:eastAsiaTheme="majorEastAsia"/>
          <w:sz w:val="24"/>
          <w:szCs w:val="24"/>
        </w:rPr>
        <w:t>svolgimento delle attività.</w:t>
      </w:r>
    </w:p>
    <w:p w:rsidR="005F3909" w:rsidRDefault="005F3909" w14:paraId="5A7BAD06" w14:textId="074A459E">
      <w:pPr>
        <w:spacing w:after="160" w:line="259" w:lineRule="auto"/>
      </w:pPr>
      <w:r>
        <w:br w:type="page"/>
      </w:r>
    </w:p>
    <w:p w:rsidRPr="000A24C7" w:rsidR="00C574E3" w:rsidP="009C5076" w:rsidRDefault="00242B33" w14:paraId="67C77652" w14:textId="11597675">
      <w:pPr>
        <w:pStyle w:val="Heading1"/>
        <w:numPr>
          <w:ilvl w:val="0"/>
          <w:numId w:val="45"/>
        </w:numPr>
        <w:rPr>
          <w:rStyle w:val="IntenseReference"/>
          <w:rFonts w:ascii="Calibri" w:hAnsi="Calibri" w:cs="Calibri"/>
          <w:smallCaps w:val="0"/>
          <w:color w:val="0070C0"/>
          <w:spacing w:val="0"/>
          <w:sz w:val="32"/>
          <w:szCs w:val="32"/>
        </w:rPr>
      </w:pPr>
      <w:bookmarkStart w:name="_Toc520974054" w:id="48"/>
      <w:bookmarkStart w:name="_Toc173426677" w:id="49"/>
      <w:bookmarkStart w:name="_Toc190354119" w:id="50"/>
      <w:r w:rsidRPr="52C5CEAB">
        <w:rPr>
          <w:rStyle w:val="IntenseReference"/>
          <w:rFonts w:ascii="Calibri" w:hAnsi="Calibri" w:cs="Calibri"/>
          <w:smallCaps w:val="0"/>
          <w:color w:val="0070C0"/>
          <w:spacing w:val="0"/>
          <w:sz w:val="32"/>
          <w:szCs w:val="32"/>
        </w:rPr>
        <w:t>Modalità di trattamento delle spese inammi</w:t>
      </w:r>
      <w:r w:rsidRPr="52C5CEAB" w:rsidR="00D16527">
        <w:rPr>
          <w:rStyle w:val="IntenseReference"/>
          <w:rFonts w:ascii="Calibri" w:hAnsi="Calibri" w:cs="Calibri"/>
          <w:smallCaps w:val="0"/>
          <w:color w:val="0070C0"/>
          <w:spacing w:val="0"/>
          <w:sz w:val="32"/>
          <w:szCs w:val="32"/>
        </w:rPr>
        <w:t>ssibili e irregolari</w:t>
      </w:r>
      <w:bookmarkEnd w:id="48"/>
      <w:bookmarkEnd w:id="49"/>
      <w:bookmarkEnd w:id="50"/>
    </w:p>
    <w:p w:rsidRPr="000A24C7" w:rsidR="009D1C34" w:rsidP="00C65956" w:rsidRDefault="00EC79EB" w14:paraId="02AC7853" w14:textId="41524ACF">
      <w:pPr>
        <w:spacing w:before="120" w:after="120" w:line="276" w:lineRule="auto"/>
        <w:jc w:val="both"/>
        <w:rPr>
          <w:rFonts w:ascii="Calibri" w:hAnsi="Calibri" w:cs="Calibri"/>
        </w:rPr>
      </w:pPr>
      <w:r w:rsidRPr="000A24C7">
        <w:rPr>
          <w:rFonts w:ascii="Calibri" w:hAnsi="Calibri" w:cs="Calibri"/>
        </w:rPr>
        <w:t xml:space="preserve">Gli Stati Membri devono comunicare, in conformità con l’art. 3 del </w:t>
      </w:r>
      <w:r w:rsidRPr="000A24C7" w:rsidR="009D1C34">
        <w:rPr>
          <w:rFonts w:ascii="Calibri" w:hAnsi="Calibri" w:cs="Calibri"/>
        </w:rPr>
        <w:t>Reg. (UE) n. 1970/2015, alla Commissione Europea, tutte le irregolarità che “</w:t>
      </w:r>
      <w:r w:rsidRPr="000A24C7" w:rsidR="009D1C34">
        <w:rPr>
          <w:rFonts w:ascii="Calibri" w:hAnsi="Calibri" w:cs="Calibri"/>
          <w:i/>
          <w:iCs/>
        </w:rPr>
        <w:t>riguardano un importo superiore a 10.000,00 € in contributi del fondo e che sono state oggetto di un primo verbale amministrativo o giudiziario</w:t>
      </w:r>
      <w:r w:rsidRPr="000A24C7" w:rsidR="009D1C34">
        <w:rPr>
          <w:rFonts w:ascii="Calibri" w:hAnsi="Calibri" w:cs="Calibri"/>
        </w:rPr>
        <w:t>.”</w:t>
      </w:r>
    </w:p>
    <w:p w:rsidRPr="000A24C7" w:rsidR="00765AD8" w:rsidP="00C65956" w:rsidRDefault="005960F8" w14:paraId="06172883" w14:textId="017DC56E">
      <w:pPr>
        <w:spacing w:line="276" w:lineRule="auto"/>
        <w:jc w:val="both"/>
        <w:rPr>
          <w:rFonts w:ascii="Calibri" w:hAnsi="Calibri" w:cs="Calibri"/>
        </w:rPr>
      </w:pPr>
      <w:r w:rsidRPr="00311973">
        <w:rPr>
          <w:rFonts w:ascii="Calibri" w:hAnsi="Calibri" w:cs="Calibri"/>
          <w:b/>
          <w:bCs/>
          <w:color w:val="0070C0"/>
          <w:u w:val="single"/>
        </w:rPr>
        <w:t>IRREGOLARITA’</w:t>
      </w:r>
      <w:r w:rsidRPr="000A24C7">
        <w:rPr>
          <w:rFonts w:ascii="Calibri" w:hAnsi="Calibri" w:cs="Calibri"/>
          <w:b/>
          <w:bCs/>
          <w:u w:val="single"/>
        </w:rPr>
        <w:t xml:space="preserve"> </w:t>
      </w:r>
      <w:r w:rsidRPr="000A24C7" w:rsidR="00765AD8">
        <w:rPr>
          <w:rFonts w:ascii="Calibri" w:hAnsi="Calibri" w:cs="Calibri"/>
        </w:rPr>
        <w:t>–</w:t>
      </w:r>
      <w:r w:rsidRPr="000A24C7">
        <w:rPr>
          <w:rFonts w:ascii="Calibri" w:hAnsi="Calibri" w:cs="Calibri"/>
        </w:rPr>
        <w:t xml:space="preserve"> </w:t>
      </w:r>
      <w:r w:rsidRPr="000A24C7" w:rsidR="00765AD8">
        <w:rPr>
          <w:rFonts w:ascii="Calibri" w:hAnsi="Calibri" w:cs="Calibri"/>
        </w:rPr>
        <w:t>(art. 2 (31) del Reg. (UE) 2021/1060)</w:t>
      </w:r>
    </w:p>
    <w:p w:rsidRPr="000A24C7" w:rsidR="009D1C34" w:rsidP="00C65956" w:rsidRDefault="35CD470B" w14:paraId="2D90B0C4" w14:textId="3C115F32">
      <w:pPr>
        <w:spacing w:line="276" w:lineRule="auto"/>
        <w:jc w:val="both"/>
        <w:rPr>
          <w:rFonts w:ascii="Calibri" w:hAnsi="Calibri" w:cs="Calibri"/>
        </w:rPr>
      </w:pPr>
      <w:r w:rsidRPr="35CD470B">
        <w:rPr>
          <w:rFonts w:ascii="Calibri" w:hAnsi="Calibri" w:cs="Calibri"/>
        </w:rPr>
        <w:t>Violazione di una disposizione del diritto comunitario che può derivare da un'azione o omissione di un beneficiario, con conseguente pregiudizio al bilancio dell'Unione Europea o ai bilanci da essa gestiti. Le irregolarità possono riguardare l'uso indebito di fondi, la mancata conformità alle normative applicabili o la non osservanza degli obblighi stabiliti nei regolamenti dell'UE. Se non vengono corrette, le irregolarità possono portare alla perdita di finanziamenti, a sanzioni finanziarie o alla decertificazione delle spese già rendicontate.</w:t>
      </w:r>
    </w:p>
    <w:p w:rsidR="35CD470B" w:rsidP="35CD470B" w:rsidRDefault="35CD470B" w14:paraId="608EBE0C" w14:textId="27051C89">
      <w:pPr>
        <w:spacing w:line="276" w:lineRule="auto"/>
        <w:jc w:val="both"/>
        <w:rPr>
          <w:rFonts w:ascii="Calibri" w:hAnsi="Calibri" w:eastAsia="Garamond" w:cs="Calibri"/>
          <w:b/>
          <w:bCs/>
          <w:color w:val="0070C0"/>
          <w:u w:val="single"/>
        </w:rPr>
      </w:pPr>
    </w:p>
    <w:p w:rsidRPr="000A24C7" w:rsidR="001D1C63" w:rsidP="00C65956" w:rsidRDefault="00341F84" w14:paraId="17577DFB" w14:textId="044BE41C">
      <w:pPr>
        <w:spacing w:line="276" w:lineRule="auto"/>
        <w:jc w:val="both"/>
        <w:rPr>
          <w:rFonts w:ascii="Calibri" w:hAnsi="Calibri" w:eastAsia="Garamond" w:cs="Calibri"/>
        </w:rPr>
      </w:pPr>
      <w:r w:rsidRPr="00311973">
        <w:rPr>
          <w:rFonts w:ascii="Calibri" w:hAnsi="Calibri" w:eastAsia="Garamond" w:cs="Calibri"/>
          <w:b/>
          <w:color w:val="0070C0"/>
          <w:u w:val="single"/>
        </w:rPr>
        <w:t>IRREGOLARITA’ SISTEMICA</w:t>
      </w:r>
      <w:r w:rsidRPr="00311973" w:rsidR="00765AD8">
        <w:rPr>
          <w:rFonts w:ascii="Calibri" w:hAnsi="Calibri" w:eastAsia="Garamond" w:cs="Calibri"/>
          <w:color w:val="0070C0"/>
          <w:u w:val="single"/>
        </w:rPr>
        <w:t xml:space="preserve"> -</w:t>
      </w:r>
      <w:r w:rsidRPr="000A24C7" w:rsidR="00765AD8">
        <w:rPr>
          <w:rFonts w:ascii="Calibri" w:hAnsi="Calibri" w:eastAsia="Garamond" w:cs="Calibri"/>
          <w:u w:val="single"/>
        </w:rPr>
        <w:t xml:space="preserve"> (</w:t>
      </w:r>
      <w:r w:rsidRPr="000A24C7" w:rsidR="00765AD8">
        <w:rPr>
          <w:rFonts w:ascii="Calibri" w:hAnsi="Calibri" w:eastAsia="Garamond" w:cs="Calibri"/>
        </w:rPr>
        <w:t>art. 2 (33) del Reg. (UE) 2021/1060)</w:t>
      </w:r>
    </w:p>
    <w:p w:rsidRPr="00765AD8" w:rsidR="00765AD8" w:rsidP="00C65956" w:rsidRDefault="35CD470B" w14:paraId="3936CB0C" w14:textId="671E880D">
      <w:pPr>
        <w:spacing w:line="276" w:lineRule="auto"/>
        <w:jc w:val="both"/>
        <w:rPr>
          <w:rFonts w:ascii="Calibri" w:hAnsi="Calibri" w:cs="Calibri"/>
        </w:rPr>
      </w:pPr>
      <w:r w:rsidRPr="35CD470B">
        <w:rPr>
          <w:rFonts w:ascii="Calibri" w:hAnsi="Calibri" w:cs="Calibri"/>
        </w:rPr>
        <w:t>Violazione che non riguarda un singolo caso o beneficiario, ma che si verifica in modo ricorrente o diffuso all'interno di un sistema o processo. In altre parole, è una problematica che riguarda l'intero sistema di gestione, implementazione o controllo dei fondi, che potrebbe compromettere l'efficacia e la regolarità dei processi operativi. Nel contesto dei fondi europei, un'irregolarità sistemica potrebbe manifestarsi con errori ricorrenti nelle modalità di attuazione delle operazioni, che si ripetono su larga scala, indicando una carenza strutturale nel sistema di gestione e controllo. Queste irregolarità sono considerate particolarmente gravi perché implicano che l'intero sistema di gestione dei fondi non sta rispettando adeguatamente le normative previste dall'UE, mettendo a rischio l'integrità del programma e la corretta destinazione delle risorse.</w:t>
      </w:r>
    </w:p>
    <w:p w:rsidR="35CD470B" w:rsidP="35CD470B" w:rsidRDefault="35CD470B" w14:paraId="47D978A9" w14:textId="4FE16E53">
      <w:pPr>
        <w:spacing w:line="276" w:lineRule="auto"/>
        <w:jc w:val="both"/>
        <w:rPr>
          <w:rFonts w:ascii="Calibri" w:hAnsi="Calibri" w:cs="Calibri"/>
          <w:b/>
          <w:bCs/>
          <w:color w:val="0070C0"/>
          <w:u w:val="single"/>
        </w:rPr>
      </w:pPr>
    </w:p>
    <w:p w:rsidRPr="000A24C7" w:rsidR="00765AD8" w:rsidP="00C65956" w:rsidRDefault="006C3755" w14:paraId="22657942" w14:textId="230B3553">
      <w:pPr>
        <w:spacing w:line="276" w:lineRule="auto"/>
        <w:jc w:val="both"/>
        <w:rPr>
          <w:rFonts w:ascii="Calibri" w:hAnsi="Calibri" w:cs="Calibri"/>
        </w:rPr>
      </w:pPr>
      <w:r w:rsidRPr="00311973">
        <w:rPr>
          <w:rFonts w:ascii="Calibri" w:hAnsi="Calibri" w:cs="Calibri"/>
          <w:b/>
          <w:bCs/>
          <w:color w:val="0070C0"/>
          <w:u w:val="single"/>
        </w:rPr>
        <w:t>FRODE</w:t>
      </w:r>
      <w:r w:rsidRPr="00311973">
        <w:rPr>
          <w:rFonts w:ascii="Calibri" w:hAnsi="Calibri" w:cs="Calibri"/>
          <w:color w:val="0070C0"/>
        </w:rPr>
        <w:t xml:space="preserve"> </w:t>
      </w:r>
      <w:r w:rsidRPr="000A24C7" w:rsidR="00DF00B0">
        <w:rPr>
          <w:rFonts w:ascii="Calibri" w:hAnsi="Calibri" w:cs="Calibri"/>
        </w:rPr>
        <w:t>–</w:t>
      </w:r>
      <w:r w:rsidRPr="000A24C7">
        <w:rPr>
          <w:rFonts w:ascii="Calibri" w:hAnsi="Calibri" w:cs="Calibri"/>
        </w:rPr>
        <w:t xml:space="preserve"> </w:t>
      </w:r>
      <w:r w:rsidRPr="000A24C7" w:rsidR="00DF00B0">
        <w:rPr>
          <w:rFonts w:ascii="Calibri" w:hAnsi="Calibri" w:cs="Calibri"/>
        </w:rPr>
        <w:t>(</w:t>
      </w:r>
      <w:r w:rsidRPr="000A24C7">
        <w:rPr>
          <w:rFonts w:ascii="Calibri" w:hAnsi="Calibri" w:cs="Calibri"/>
        </w:rPr>
        <w:t>art. 3, par. 2, lett. a) e b), della Direttiva (UE) n. 1371/2017</w:t>
      </w:r>
    </w:p>
    <w:p w:rsidRPr="00226DFC" w:rsidR="00226DFC" w:rsidP="00C65956" w:rsidRDefault="001D123F" w14:paraId="3E31FB10" w14:textId="22EBD96F">
      <w:pPr>
        <w:spacing w:line="276" w:lineRule="auto"/>
        <w:jc w:val="both"/>
        <w:rPr>
          <w:rFonts w:ascii="Calibri" w:hAnsi="Calibri" w:cs="Calibri"/>
        </w:rPr>
      </w:pPr>
      <w:r w:rsidRPr="000A24C7">
        <w:rPr>
          <w:rFonts w:ascii="Calibri" w:hAnsi="Calibri" w:cs="Calibri"/>
        </w:rPr>
        <w:t>L</w:t>
      </w:r>
      <w:r w:rsidRPr="00226DFC" w:rsidR="00226DFC">
        <w:rPr>
          <w:rFonts w:ascii="Calibri" w:hAnsi="Calibri" w:cs="Calibri"/>
        </w:rPr>
        <w:t>a frode, ai sensi della direttiva che tutela gli interessi finanziari dell'UE, è definita come ogni azione o omissione intenzionale che, in relazione alle spese, comporta:</w:t>
      </w:r>
    </w:p>
    <w:p w:rsidRPr="00A35AA9" w:rsidR="00A35AA9" w:rsidP="00C65956" w:rsidRDefault="00A35AA9" w14:paraId="119A57A7" w14:textId="77777777">
      <w:pPr>
        <w:spacing w:line="276" w:lineRule="auto"/>
        <w:jc w:val="both"/>
        <w:rPr>
          <w:rFonts w:ascii="Calibri" w:hAnsi="Calibri" w:cs="Calibri"/>
          <w:color w:val="0070C0"/>
        </w:rPr>
      </w:pPr>
      <w:r w:rsidRPr="00A35AA9">
        <w:rPr>
          <w:rFonts w:ascii="Calibri" w:hAnsi="Calibri" w:cs="Calibri"/>
          <w:b/>
          <w:bCs/>
          <w:color w:val="0070C0"/>
        </w:rPr>
        <w:t>In materia di spese non relative agli appalti</w:t>
      </w:r>
      <w:r w:rsidRPr="00A35AA9">
        <w:rPr>
          <w:rFonts w:ascii="Calibri" w:hAnsi="Calibri" w:cs="Calibri"/>
          <w:color w:val="0070C0"/>
        </w:rPr>
        <w:t>:</w:t>
      </w:r>
    </w:p>
    <w:p w:rsidRPr="00A35AA9" w:rsidR="00A35AA9" w:rsidP="009C5076" w:rsidRDefault="194A61ED" w14:paraId="69214D46" w14:textId="671088BF">
      <w:pPr>
        <w:numPr>
          <w:ilvl w:val="1"/>
          <w:numId w:val="16"/>
        </w:numPr>
        <w:spacing w:line="276" w:lineRule="auto"/>
        <w:ind w:left="426"/>
        <w:jc w:val="both"/>
        <w:rPr>
          <w:rFonts w:ascii="Calibri" w:hAnsi="Calibri" w:cs="Calibri"/>
        </w:rPr>
      </w:pPr>
      <w:r w:rsidRPr="000A24C7">
        <w:rPr>
          <w:rFonts w:ascii="Calibri" w:hAnsi="Calibri" w:cs="Calibri"/>
        </w:rPr>
        <w:t>l</w:t>
      </w:r>
      <w:r w:rsidRPr="000A24C7" w:rsidR="00A35AA9">
        <w:rPr>
          <w:rFonts w:ascii="Calibri" w:hAnsi="Calibri" w:cs="Calibri"/>
        </w:rPr>
        <w:t>'uso</w:t>
      </w:r>
      <w:r w:rsidRPr="00A35AA9" w:rsidR="00A35AA9">
        <w:rPr>
          <w:rFonts w:ascii="Calibri" w:hAnsi="Calibri" w:cs="Calibri"/>
        </w:rPr>
        <w:t xml:space="preserve"> o la presentazione di dichiarazioni o documenti falsi, inesatti o incompleti, con conseguente appropriazione indebita o trattenimento illecito di fondi o beni provenienti dal bilancio dell'Unione o dai bilanci gestiti da essa o per suo conto</w:t>
      </w:r>
      <w:r w:rsidRPr="000A24C7" w:rsidR="6503B03E">
        <w:rPr>
          <w:rFonts w:ascii="Calibri" w:hAnsi="Calibri" w:cs="Calibri"/>
        </w:rPr>
        <w:t>,</w:t>
      </w:r>
    </w:p>
    <w:p w:rsidRPr="00A35AA9" w:rsidR="00A35AA9" w:rsidP="009C5076" w:rsidRDefault="0DF3DDCB" w14:paraId="3D9E6BB1" w14:textId="011E9F57">
      <w:pPr>
        <w:numPr>
          <w:ilvl w:val="1"/>
          <w:numId w:val="16"/>
        </w:numPr>
        <w:spacing w:before="120" w:after="120" w:line="276" w:lineRule="auto"/>
        <w:ind w:left="426"/>
        <w:jc w:val="both"/>
        <w:rPr>
          <w:rFonts w:ascii="Calibri" w:hAnsi="Calibri" w:cs="Calibri"/>
        </w:rPr>
      </w:pPr>
      <w:r w:rsidRPr="000A24C7">
        <w:rPr>
          <w:rFonts w:ascii="Calibri" w:hAnsi="Calibri" w:cs="Calibri"/>
        </w:rPr>
        <w:t>l</w:t>
      </w:r>
      <w:r w:rsidRPr="000A24C7" w:rsidR="00A35AA9">
        <w:rPr>
          <w:rFonts w:ascii="Calibri" w:hAnsi="Calibri" w:cs="Calibri"/>
        </w:rPr>
        <w:t>a</w:t>
      </w:r>
      <w:r w:rsidRPr="00A35AA9" w:rsidR="00A35AA9">
        <w:rPr>
          <w:rFonts w:ascii="Calibri" w:hAnsi="Calibri" w:cs="Calibri"/>
        </w:rPr>
        <w:t xml:space="preserve"> mancata comunicazione di informazioni in violazione di un obbligo specifico, con il medesimo effetto di appropriazione indebita</w:t>
      </w:r>
      <w:r w:rsidRPr="000A24C7" w:rsidR="7A1304FB">
        <w:rPr>
          <w:rFonts w:ascii="Calibri" w:hAnsi="Calibri" w:cs="Calibri"/>
        </w:rPr>
        <w:t>,</w:t>
      </w:r>
    </w:p>
    <w:p w:rsidRPr="00A35AA9" w:rsidR="00A35AA9" w:rsidP="009C5076" w:rsidRDefault="1808F07B" w14:paraId="01964969" w14:textId="0E676C05">
      <w:pPr>
        <w:numPr>
          <w:ilvl w:val="1"/>
          <w:numId w:val="16"/>
        </w:numPr>
        <w:spacing w:before="120" w:after="120" w:line="276" w:lineRule="auto"/>
        <w:ind w:left="426"/>
        <w:jc w:val="both"/>
        <w:rPr>
          <w:rFonts w:ascii="Calibri" w:hAnsi="Calibri" w:cs="Calibri"/>
        </w:rPr>
      </w:pPr>
      <w:r w:rsidRPr="000A24C7">
        <w:rPr>
          <w:rFonts w:ascii="Calibri" w:hAnsi="Calibri" w:cs="Calibri"/>
        </w:rPr>
        <w:t>l</w:t>
      </w:r>
      <w:r w:rsidRPr="000A24C7" w:rsidR="00A35AA9">
        <w:rPr>
          <w:rFonts w:ascii="Calibri" w:hAnsi="Calibri" w:cs="Calibri"/>
        </w:rPr>
        <w:t>a</w:t>
      </w:r>
      <w:r w:rsidRPr="00A35AA9" w:rsidR="00A35AA9">
        <w:rPr>
          <w:rFonts w:ascii="Calibri" w:hAnsi="Calibri" w:cs="Calibri"/>
        </w:rPr>
        <w:t xml:space="preserve"> distrazione di fondi o beni per scopi diversi da quelli per cui erano stati originariamente concessi.</w:t>
      </w:r>
    </w:p>
    <w:p w:rsidRPr="00311973" w:rsidR="009E44BC" w:rsidP="00C65956" w:rsidRDefault="00A35AA9" w14:paraId="7C14491F" w14:textId="77777777">
      <w:pPr>
        <w:spacing w:line="276" w:lineRule="auto"/>
        <w:jc w:val="both"/>
        <w:rPr>
          <w:rFonts w:ascii="Calibri" w:hAnsi="Calibri" w:cs="Calibri"/>
          <w:color w:val="0070C0"/>
        </w:rPr>
      </w:pPr>
      <w:r w:rsidRPr="00A35AA9">
        <w:rPr>
          <w:rFonts w:ascii="Calibri" w:hAnsi="Calibri" w:cs="Calibri"/>
          <w:b/>
          <w:bCs/>
          <w:color w:val="0070C0"/>
        </w:rPr>
        <w:t>In materia di spese relative agli appalti</w:t>
      </w:r>
      <w:r w:rsidRPr="00A35AA9">
        <w:rPr>
          <w:rFonts w:ascii="Calibri" w:hAnsi="Calibri" w:cs="Calibri"/>
          <w:color w:val="0070C0"/>
        </w:rPr>
        <w:t>:</w:t>
      </w:r>
    </w:p>
    <w:p w:rsidRPr="000A24C7" w:rsidR="007834E3" w:rsidP="00C65956" w:rsidRDefault="00A35AA9" w14:paraId="441D2682" w14:textId="77777777">
      <w:pPr>
        <w:spacing w:line="276" w:lineRule="auto"/>
        <w:jc w:val="both"/>
        <w:rPr>
          <w:rFonts w:ascii="Calibri" w:hAnsi="Calibri" w:cs="Calibri"/>
        </w:rPr>
      </w:pPr>
      <w:r w:rsidRPr="000A24C7">
        <w:rPr>
          <w:rFonts w:ascii="Calibri" w:hAnsi="Calibri" w:cs="Calibri"/>
        </w:rPr>
        <w:t>Quando l'azione o omissione è commessa al fine di procurare un ingiusto vantaggio per l'autore del reato o per altri, danneggiando gli interessi finanziari dell'Unione, in particolare:</w:t>
      </w:r>
    </w:p>
    <w:p w:rsidRPr="000A24C7" w:rsidR="00367269" w:rsidP="009C5076" w:rsidRDefault="0B7B90EC" w14:paraId="14C9373B" w14:textId="1A5425FE">
      <w:pPr>
        <w:pStyle w:val="ListParagraph"/>
        <w:numPr>
          <w:ilvl w:val="0"/>
          <w:numId w:val="17"/>
        </w:numPr>
        <w:spacing w:before="120" w:after="120" w:line="276" w:lineRule="auto"/>
        <w:ind w:left="284"/>
        <w:jc w:val="both"/>
        <w:rPr>
          <w:rFonts w:ascii="Calibri" w:hAnsi="Calibri" w:cs="Calibri"/>
        </w:rPr>
      </w:pPr>
      <w:r w:rsidRPr="000A24C7">
        <w:rPr>
          <w:rFonts w:ascii="Calibri" w:hAnsi="Calibri" w:cs="Calibri"/>
        </w:rPr>
        <w:t>l</w:t>
      </w:r>
      <w:r w:rsidRPr="000A24C7" w:rsidR="00A35AA9">
        <w:rPr>
          <w:rFonts w:ascii="Calibri" w:hAnsi="Calibri" w:cs="Calibri"/>
        </w:rPr>
        <w:t>'uso</w:t>
      </w:r>
      <w:r w:rsidRPr="007834E3" w:rsidR="00A35AA9">
        <w:rPr>
          <w:rFonts w:ascii="Calibri" w:hAnsi="Calibri" w:cs="Calibri"/>
        </w:rPr>
        <w:t xml:space="preserve"> o la presentazione di dichiarazioni o documenti falsi, inesatti o incompleti, con conseguente appropriazione indebita o trattenimento illecito di fondi o beni provenienti dal bilancio dell'Unione o dai bilanci gestiti da essa o per suo conto.</w:t>
      </w:r>
    </w:p>
    <w:p w:rsidRPr="00367269" w:rsidR="00A35AA9" w:rsidP="009C5076" w:rsidRDefault="16F4D274" w14:paraId="3DF38E9F" w14:textId="2F92B6CE">
      <w:pPr>
        <w:pStyle w:val="ListParagraph"/>
        <w:numPr>
          <w:ilvl w:val="0"/>
          <w:numId w:val="17"/>
        </w:numPr>
        <w:spacing w:before="120" w:after="120" w:line="276" w:lineRule="auto"/>
        <w:ind w:left="284"/>
        <w:jc w:val="both"/>
        <w:rPr>
          <w:rFonts w:ascii="Calibri" w:hAnsi="Calibri" w:cs="Calibri"/>
        </w:rPr>
      </w:pPr>
      <w:r w:rsidRPr="000A24C7">
        <w:rPr>
          <w:rFonts w:ascii="Calibri" w:hAnsi="Calibri" w:cs="Calibri"/>
        </w:rPr>
        <w:t>l</w:t>
      </w:r>
      <w:r w:rsidRPr="000A24C7" w:rsidR="00A35AA9">
        <w:rPr>
          <w:rFonts w:ascii="Calibri" w:hAnsi="Calibri" w:cs="Calibri"/>
        </w:rPr>
        <w:t>a</w:t>
      </w:r>
      <w:r w:rsidRPr="00367269" w:rsidR="00A35AA9">
        <w:rPr>
          <w:rFonts w:ascii="Calibri" w:hAnsi="Calibri" w:cs="Calibri"/>
        </w:rPr>
        <w:t xml:space="preserve"> mancata comunicazione di informazioni in violazione di un obbligo specifico, con il medesimo effetto di appropriazione indebita.</w:t>
      </w:r>
    </w:p>
    <w:p w:rsidRPr="00A35AA9" w:rsidR="00A35AA9" w:rsidP="00C65956" w:rsidRDefault="00A35AA9" w14:paraId="43B344BA" w14:textId="2D3B83F8">
      <w:pPr>
        <w:spacing w:before="120" w:after="120" w:line="276" w:lineRule="auto"/>
        <w:jc w:val="both"/>
        <w:rPr>
          <w:rFonts w:ascii="Calibri" w:hAnsi="Calibri" w:cs="Calibri"/>
        </w:rPr>
      </w:pPr>
    </w:p>
    <w:p w:rsidRPr="00226DFC" w:rsidR="00226DFC" w:rsidP="00C65956" w:rsidRDefault="00226DFC" w14:paraId="0FD8B66E" w14:textId="77777777">
      <w:pPr>
        <w:spacing w:line="276" w:lineRule="auto"/>
        <w:jc w:val="both"/>
        <w:rPr>
          <w:rFonts w:ascii="Calibri" w:hAnsi="Calibri" w:cs="Calibri"/>
        </w:rPr>
      </w:pPr>
      <w:r w:rsidRPr="00226DFC">
        <w:rPr>
          <w:rFonts w:ascii="Calibri" w:hAnsi="Calibri" w:cs="Calibri"/>
        </w:rPr>
        <w:t>In caso di frode, si distingue tra:</w:t>
      </w:r>
    </w:p>
    <w:p w:rsidRPr="00226DFC" w:rsidR="00226DFC" w:rsidP="00C65956" w:rsidRDefault="00226DFC" w14:paraId="07DB5A41" w14:textId="77777777">
      <w:pPr>
        <w:spacing w:before="120" w:after="120" w:line="276" w:lineRule="auto"/>
        <w:jc w:val="both"/>
        <w:rPr>
          <w:rFonts w:ascii="Calibri" w:hAnsi="Calibri" w:cs="Calibri"/>
        </w:rPr>
      </w:pPr>
      <w:r w:rsidRPr="00226DFC">
        <w:rPr>
          <w:rFonts w:ascii="Calibri" w:hAnsi="Calibri" w:cs="Calibri"/>
          <w:b/>
          <w:bCs/>
          <w:color w:val="0070C0"/>
          <w:u w:val="single"/>
        </w:rPr>
        <w:t>Frode sospetta:</w:t>
      </w:r>
      <w:r w:rsidRPr="00226DFC">
        <w:rPr>
          <w:rFonts w:ascii="Calibri" w:hAnsi="Calibri" w:cs="Calibri"/>
        </w:rPr>
        <w:t xml:space="preserve"> Una frode è considerata sospetta quando esiste un "intento deliberato" da parte del soggetto coinvolto di commettere un'irregolarità.</w:t>
      </w:r>
    </w:p>
    <w:p w:rsidRPr="00226DFC" w:rsidR="00226DFC" w:rsidP="00C65956" w:rsidRDefault="00226DFC" w14:paraId="05221D40" w14:textId="77777777">
      <w:pPr>
        <w:spacing w:before="120" w:after="120" w:line="276" w:lineRule="auto"/>
        <w:jc w:val="both"/>
        <w:rPr>
          <w:rFonts w:ascii="Calibri" w:hAnsi="Calibri" w:cs="Calibri"/>
        </w:rPr>
      </w:pPr>
      <w:r w:rsidRPr="00226DFC">
        <w:rPr>
          <w:rFonts w:ascii="Calibri" w:hAnsi="Calibri" w:cs="Calibri"/>
          <w:b/>
          <w:bCs/>
          <w:color w:val="0070C0"/>
          <w:u w:val="single"/>
        </w:rPr>
        <w:t>Frode accertata</w:t>
      </w:r>
      <w:r w:rsidRPr="00226DFC">
        <w:rPr>
          <w:rFonts w:ascii="Calibri" w:hAnsi="Calibri" w:cs="Calibri"/>
        </w:rPr>
        <w:t>: Un caso è definito "frode accertata" quando un Tribunale penale condanna un beneficiario per frode, e tale decisione non venga impugnata o non sia più impugnabile</w:t>
      </w:r>
    </w:p>
    <w:p w:rsidRPr="000A24C7" w:rsidR="00226DFC" w:rsidP="00C65956" w:rsidRDefault="35CD470B" w14:paraId="06E15E13" w14:textId="7D47CF74">
      <w:pPr>
        <w:spacing w:line="276" w:lineRule="auto"/>
        <w:jc w:val="both"/>
        <w:rPr>
          <w:rFonts w:ascii="Calibri" w:hAnsi="Calibri" w:cs="Calibri"/>
        </w:rPr>
      </w:pPr>
      <w:r w:rsidRPr="35CD470B">
        <w:rPr>
          <w:rFonts w:ascii="Calibri" w:hAnsi="Calibri" w:cs="Calibri"/>
          <w:b/>
          <w:bCs/>
          <w:color w:val="0070C0"/>
          <w:u w:val="single"/>
        </w:rPr>
        <w:t>OPERATORE ECONOMICO</w:t>
      </w:r>
      <w:r w:rsidRPr="35CD470B">
        <w:rPr>
          <w:rFonts w:ascii="Calibri" w:hAnsi="Calibri" w:cs="Calibri"/>
          <w:b/>
          <w:bCs/>
          <w:color w:val="0070C0"/>
        </w:rPr>
        <w:t xml:space="preserve"> - </w:t>
      </w:r>
      <w:r w:rsidRPr="35CD470B">
        <w:rPr>
          <w:rFonts w:ascii="Calibri" w:hAnsi="Calibri" w:cs="Calibri"/>
        </w:rPr>
        <w:t>(art. 2 (30) del Reg. (UE) 2021/1060)</w:t>
      </w:r>
    </w:p>
    <w:p w:rsidRPr="000A24C7" w:rsidR="00402B07" w:rsidP="00C65956" w:rsidRDefault="00402B07" w14:paraId="0AEA335C" w14:textId="44B6EEDF">
      <w:pPr>
        <w:spacing w:line="276" w:lineRule="auto"/>
        <w:jc w:val="both"/>
        <w:rPr>
          <w:rFonts w:ascii="Calibri" w:hAnsi="Calibri" w:cs="Calibri"/>
        </w:rPr>
      </w:pPr>
      <w:r w:rsidRPr="000A24C7">
        <w:rPr>
          <w:rFonts w:ascii="Calibri" w:hAnsi="Calibri" w:cs="Calibri"/>
        </w:rPr>
        <w:t>qualsiasi persona fisica o giuridica o altra entità che partecipa all'esecuzione dell'intervento dei fondi, a eccezione di uno Stato membro nell'esercizio delle sue prerogative di autorità pubblica</w:t>
      </w:r>
    </w:p>
    <w:p w:rsidRPr="000A24C7" w:rsidR="00402B07" w:rsidP="00C65956" w:rsidRDefault="35CD470B" w14:paraId="7CF7E7C7" w14:textId="1AE466A1">
      <w:pPr>
        <w:spacing w:line="276" w:lineRule="auto"/>
        <w:jc w:val="both"/>
        <w:rPr>
          <w:rFonts w:ascii="Calibri" w:hAnsi="Calibri" w:cs="Calibri"/>
        </w:rPr>
      </w:pPr>
      <w:r w:rsidRPr="35CD470B">
        <w:rPr>
          <w:rFonts w:ascii="Calibri" w:hAnsi="Calibri" w:cs="Calibri"/>
          <w:b/>
          <w:bCs/>
          <w:color w:val="0070C0"/>
          <w:u w:val="single"/>
        </w:rPr>
        <w:t>PRIMO VERBALE AMMINISTRATIVO O GIUDIZIARIO</w:t>
      </w:r>
      <w:r w:rsidRPr="35CD470B">
        <w:rPr>
          <w:rFonts w:ascii="Calibri" w:hAnsi="Calibri" w:cs="Calibri"/>
          <w:b/>
          <w:bCs/>
          <w:color w:val="0070C0"/>
        </w:rPr>
        <w:t xml:space="preserve"> </w:t>
      </w:r>
      <w:r w:rsidRPr="35CD470B">
        <w:rPr>
          <w:rFonts w:ascii="Calibri" w:hAnsi="Calibri" w:cs="Calibri"/>
          <w:b/>
          <w:bCs/>
        </w:rPr>
        <w:t>–</w:t>
      </w:r>
      <w:r w:rsidRPr="35CD470B">
        <w:rPr>
          <w:rFonts w:ascii="Calibri" w:hAnsi="Calibri" w:cs="Calibri"/>
        </w:rPr>
        <w:t xml:space="preserve"> art. 2 Reg. delegato (UE) n. 1970/2015 </w:t>
      </w:r>
    </w:p>
    <w:p w:rsidRPr="000A24C7" w:rsidR="00803B27" w:rsidP="00C65956" w:rsidRDefault="00803B27" w14:paraId="78529A96" w14:textId="6E2A37A6">
      <w:pPr>
        <w:spacing w:line="276" w:lineRule="auto"/>
        <w:jc w:val="both"/>
        <w:rPr>
          <w:rFonts w:ascii="Calibri" w:hAnsi="Calibri" w:cs="Calibri"/>
        </w:rPr>
      </w:pPr>
      <w:r w:rsidRPr="000A24C7">
        <w:rPr>
          <w:rFonts w:ascii="Calibri" w:hAnsi="Calibri" w:cs="Calibri"/>
        </w:rPr>
        <w:t>Una prima valutazione scritta, redatta da un’autorità competente, sia amministrativa che giudiziaria, che, sulla base di fatti specifici, ha confermato l'esistenza di un’irregolarità, fermo restando che tale accertamento può essere rivisto o revocato in seguito agli sviluppi del procedimento amministrativo o giudiziario (</w:t>
      </w:r>
      <w:proofErr w:type="spellStart"/>
      <w:r w:rsidRPr="000A24C7">
        <w:rPr>
          <w:rFonts w:ascii="Calibri" w:hAnsi="Calibri" w:cs="Calibri"/>
        </w:rPr>
        <w:t>All</w:t>
      </w:r>
      <w:proofErr w:type="spellEnd"/>
      <w:r w:rsidRPr="000A24C7">
        <w:rPr>
          <w:rFonts w:ascii="Calibri" w:hAnsi="Calibri" w:cs="Calibri"/>
        </w:rPr>
        <w:t>. XII al Reg. (UE) 2021/1060, par. 1.1, lett. a). In merito, il Comitato per la lotta contro le frodi comunitarie (COLAF) ha precisato la necessità di distinguere tra PACA amministrativo e PACA penale.</w:t>
      </w:r>
    </w:p>
    <w:p w:rsidRPr="00DE473E" w:rsidR="00DE473E" w:rsidP="00C65956" w:rsidRDefault="00DE473E" w14:paraId="06FE1C80" w14:textId="77777777">
      <w:pPr>
        <w:spacing w:before="120" w:after="120" w:line="276" w:lineRule="auto"/>
        <w:jc w:val="both"/>
        <w:rPr>
          <w:rFonts w:ascii="Calibri" w:hAnsi="Calibri" w:cs="Calibri"/>
        </w:rPr>
      </w:pPr>
      <w:r w:rsidRPr="00DE473E">
        <w:rPr>
          <w:rFonts w:ascii="Calibri" w:hAnsi="Calibri" w:cs="Calibri"/>
          <w:b/>
          <w:bCs/>
          <w:color w:val="0070C0"/>
        </w:rPr>
        <w:t>Fallimento</w:t>
      </w:r>
      <w:r w:rsidRPr="00DE473E">
        <w:rPr>
          <w:rFonts w:ascii="Calibri" w:hAnsi="Calibri" w:cs="Calibri"/>
        </w:rPr>
        <w:t>: la procedura di insolvenza definita all'art. 2, punto 4), del Reg. (UE) n. 848/2015 del Parlamento Europeo e del Consiglio del 20 maggio 2015, che stabilisce le procedure di insolvenza.</w:t>
      </w:r>
    </w:p>
    <w:p w:rsidRPr="00DE473E" w:rsidR="00DE473E" w:rsidP="00C65956" w:rsidRDefault="00DE473E" w14:paraId="5D981791" w14:textId="77777777">
      <w:pPr>
        <w:spacing w:before="120" w:after="120" w:line="276" w:lineRule="auto"/>
        <w:jc w:val="both"/>
        <w:rPr>
          <w:rFonts w:ascii="Calibri" w:hAnsi="Calibri" w:cs="Calibri"/>
        </w:rPr>
      </w:pPr>
      <w:r w:rsidRPr="00DE473E">
        <w:rPr>
          <w:rFonts w:ascii="Calibri" w:hAnsi="Calibri" w:cs="Calibri"/>
          <w:b/>
          <w:bCs/>
          <w:color w:val="0070C0"/>
        </w:rPr>
        <w:t>Ritiri</w:t>
      </w:r>
      <w:r w:rsidRPr="00DE473E">
        <w:rPr>
          <w:rFonts w:ascii="Calibri" w:hAnsi="Calibri" w:cs="Calibri"/>
          <w:color w:val="0070C0"/>
        </w:rPr>
        <w:t>:</w:t>
      </w:r>
      <w:r w:rsidRPr="00DE473E">
        <w:rPr>
          <w:rFonts w:ascii="Calibri" w:hAnsi="Calibri" w:cs="Calibri"/>
        </w:rPr>
        <w:t xml:space="preserve"> importi relativi a pagamenti irregolari, precedentemente effettuati e dichiarati alla Commissione Europea, che vengono ritirati, sia parzialmente che totalmente, dal Programma e destinati ad altre operazioni.</w:t>
      </w:r>
    </w:p>
    <w:p w:rsidRPr="000A24C7" w:rsidR="00402B07" w:rsidP="00C65956" w:rsidRDefault="00DE473E" w14:paraId="53F22CE6" w14:textId="734FD4F9">
      <w:pPr>
        <w:spacing w:line="276" w:lineRule="auto"/>
        <w:jc w:val="both"/>
        <w:rPr>
          <w:rFonts w:ascii="Calibri" w:hAnsi="Calibri" w:cs="Calibri"/>
        </w:rPr>
      </w:pPr>
      <w:r w:rsidRPr="00311973">
        <w:rPr>
          <w:rFonts w:ascii="Calibri" w:hAnsi="Calibri" w:cs="Calibri"/>
          <w:b/>
          <w:color w:val="0070C0"/>
          <w:u w:val="single"/>
        </w:rPr>
        <w:t>CARENZA GRAVE</w:t>
      </w:r>
      <w:r w:rsidRPr="000A24C7">
        <w:rPr>
          <w:rFonts w:ascii="Calibri" w:hAnsi="Calibri" w:cs="Calibri"/>
        </w:rPr>
        <w:t xml:space="preserve"> </w:t>
      </w:r>
    </w:p>
    <w:p w:rsidRPr="000A24C7" w:rsidR="00402B07" w:rsidP="00C65956" w:rsidRDefault="2AF745E4" w14:paraId="086BD372" w14:textId="29FABF0E">
      <w:pPr>
        <w:spacing w:line="276" w:lineRule="auto"/>
        <w:jc w:val="both"/>
        <w:rPr>
          <w:rFonts w:ascii="Calibri" w:hAnsi="Calibri" w:cs="Calibri"/>
        </w:rPr>
      </w:pPr>
      <w:r w:rsidRPr="000A24C7">
        <w:rPr>
          <w:rFonts w:ascii="Calibri" w:hAnsi="Calibri" w:cs="Calibri"/>
        </w:rPr>
        <w:t>S</w:t>
      </w:r>
      <w:r w:rsidRPr="000A24C7" w:rsidR="00363118">
        <w:rPr>
          <w:rFonts w:ascii="Calibri" w:hAnsi="Calibri" w:cs="Calibri"/>
        </w:rPr>
        <w:t>i intende per carenza nel funzionamento efficace del sistema di gestione e controllo di un programma quella situazione che richiede miglioramenti significativi nei sistemi di gestione e controllo, e che implica il mancato rispetto di uno qualsiasi dei requisiti fondamentali elencati ai numeri 2, 4, 5, 9, 12, 13 e 15 dell'Allegato XI, o di due o più di altri requisiti fondamentali, i quali sono classificati nelle categorie 3 e 4 dello stesso allegato.</w:t>
      </w:r>
    </w:p>
    <w:p w:rsidRPr="000A24C7" w:rsidR="009D1C34" w:rsidP="00C65956" w:rsidRDefault="009D1C34" w14:paraId="462B79C8" w14:textId="77777777">
      <w:pPr>
        <w:spacing w:before="120" w:after="120" w:line="276" w:lineRule="auto"/>
        <w:rPr>
          <w:rFonts w:ascii="Calibri" w:hAnsi="Calibri" w:cs="Calibri" w:eastAsiaTheme="majorEastAsia"/>
        </w:rPr>
      </w:pPr>
    </w:p>
    <w:p w:rsidRPr="00DB7DE5" w:rsidR="00294619" w:rsidP="009C5076" w:rsidRDefault="52C5CEAB" w14:paraId="3C7B9A7D" w14:textId="094E2986">
      <w:pPr>
        <w:pStyle w:val="Heading2"/>
        <w:numPr>
          <w:ilvl w:val="1"/>
          <w:numId w:val="45"/>
        </w:numPr>
        <w:rPr>
          <w:rFonts w:ascii="Calibri" w:hAnsi="Calibri" w:cs="Calibri"/>
          <w:b/>
          <w:bCs/>
          <w:color w:val="215E99" w:themeColor="text2" w:themeTint="BF"/>
          <w:sz w:val="28"/>
          <w:szCs w:val="28"/>
        </w:rPr>
      </w:pPr>
      <w:r w:rsidRPr="52C5CEAB">
        <w:rPr>
          <w:rFonts w:ascii="Calibri" w:hAnsi="Calibri" w:cs="Calibri"/>
          <w:b/>
          <w:bCs/>
          <w:color w:val="215E99" w:themeColor="text2" w:themeTint="BF"/>
          <w:sz w:val="28"/>
          <w:szCs w:val="28"/>
        </w:rPr>
        <w:t xml:space="preserve">   </w:t>
      </w:r>
      <w:bookmarkStart w:name="_Toc190354120" w:id="51"/>
      <w:r w:rsidRPr="52C5CEAB">
        <w:rPr>
          <w:rFonts w:ascii="Calibri" w:hAnsi="Calibri" w:cs="Calibri"/>
          <w:b/>
          <w:bCs/>
          <w:color w:val="215E99" w:themeColor="text2" w:themeTint="BF"/>
          <w:sz w:val="28"/>
          <w:szCs w:val="28"/>
        </w:rPr>
        <w:t>Segnalazione delle irregolarità</w:t>
      </w:r>
      <w:bookmarkEnd w:id="51"/>
    </w:p>
    <w:p w:rsidRPr="000A24C7" w:rsidR="004E7BB6" w:rsidP="00B34456" w:rsidRDefault="35CD470B" w14:paraId="0D5CF35B" w14:textId="21527485">
      <w:pPr>
        <w:spacing w:line="276" w:lineRule="auto"/>
        <w:jc w:val="both"/>
        <w:rPr>
          <w:rFonts w:ascii="Calibri" w:hAnsi="Calibri" w:cs="Calibri"/>
        </w:rPr>
      </w:pPr>
      <w:r w:rsidRPr="35CD470B">
        <w:rPr>
          <w:rFonts w:ascii="Calibri" w:hAnsi="Calibri" w:cs="Calibri"/>
        </w:rPr>
        <w:t>Le segnalazioni di irregolarità, compresi i casi di frode o sospetta frode, vengono trasmesse all’Autorità di Gestione a seguito di attività di controllo sulle operazioni cofinanziate dal Programma Nazionale (PN). Tali segnalazioni possono derivare da diverse fonti, descritte di seguito:</w:t>
      </w:r>
    </w:p>
    <w:p w:rsidR="35CD470B" w:rsidP="35CD470B" w:rsidRDefault="35CD470B" w14:paraId="3C05962A" w14:textId="0C30F73C">
      <w:pPr>
        <w:spacing w:line="276" w:lineRule="auto"/>
        <w:jc w:val="both"/>
        <w:rPr>
          <w:rFonts w:ascii="Calibri" w:hAnsi="Calibri" w:cs="Calibri"/>
        </w:rPr>
      </w:pPr>
    </w:p>
    <w:p w:rsidRPr="00B34456" w:rsidR="004E7BB6" w:rsidP="009C5076" w:rsidRDefault="35CD470B" w14:paraId="46A1C4E6" w14:textId="291E61A2">
      <w:pPr>
        <w:pStyle w:val="ListParagraph"/>
        <w:numPr>
          <w:ilvl w:val="0"/>
          <w:numId w:val="38"/>
        </w:numPr>
        <w:spacing w:line="276" w:lineRule="auto"/>
        <w:jc w:val="both"/>
        <w:rPr>
          <w:rFonts w:ascii="Calibri" w:hAnsi="Calibri" w:eastAsia="Garamond" w:cs="Calibri"/>
          <w:b/>
          <w:bCs/>
          <w:color w:val="0070C0"/>
        </w:rPr>
      </w:pPr>
      <w:r w:rsidRPr="35CD470B">
        <w:rPr>
          <w:rFonts w:ascii="Calibri" w:hAnsi="Calibri" w:eastAsia="Garamond" w:cs="Calibri"/>
          <w:b/>
          <w:bCs/>
          <w:color w:val="0070C0"/>
        </w:rPr>
        <w:t>Irregolarità emerse dalle verifiche di gestione (controlli di primo livello):</w:t>
      </w:r>
    </w:p>
    <w:p w:rsidRPr="000A24C7" w:rsidR="004E7BB6" w:rsidP="00B34456" w:rsidRDefault="35CD470B" w14:paraId="470B8684" w14:textId="412C8DB1">
      <w:pPr>
        <w:spacing w:line="276" w:lineRule="auto"/>
        <w:jc w:val="both"/>
        <w:rPr>
          <w:rFonts w:ascii="Calibri" w:hAnsi="Calibri" w:cs="Calibri"/>
        </w:rPr>
      </w:pPr>
      <w:r w:rsidRPr="35CD470B">
        <w:rPr>
          <w:rFonts w:ascii="Calibri" w:hAnsi="Calibri" w:cs="Calibri"/>
        </w:rPr>
        <w:t>Le irregolarità o frodi possono essere rilevate durante l’intero processo di gestione e controllo del Programma. Nel caso in cui il Responsabile delle verifiche di gestione individui una presunta irregolarità, questa viene comunicata tempestivamente all’Autorità di Gestione tramite un verbale.</w:t>
      </w:r>
    </w:p>
    <w:p w:rsidRPr="000A24C7" w:rsidR="004E7BB6" w:rsidP="00C65956" w:rsidRDefault="004E7BB6" w14:paraId="2034636D" w14:textId="77777777">
      <w:pPr>
        <w:spacing w:before="120" w:after="120" w:line="276" w:lineRule="auto"/>
        <w:jc w:val="both"/>
        <w:rPr>
          <w:rFonts w:ascii="Calibri" w:hAnsi="Calibri" w:cs="Calibri"/>
        </w:rPr>
      </w:pPr>
      <w:r w:rsidRPr="000A24C7">
        <w:rPr>
          <w:rFonts w:ascii="Calibri" w:hAnsi="Calibri" w:cs="Calibri"/>
        </w:rPr>
        <w:t>Successivamente, l’Autorità di Gestione acquisisce tutta la documentazione necessaria per effettuare una valutazione approfondita dell’irregolarità, basandosi sul verbale ricevuto e su eventuali ulteriori documenti richiesti. Se vengono accertati i presupposti normativi previsti dal Regolamento (UE) 1970/2015, l’Autorità procede a segnalare l’irregolarità alla Commissione Europea attraverso l’apertura della scheda OLAF.</w:t>
      </w:r>
    </w:p>
    <w:p w:rsidRPr="00B34456" w:rsidR="004E7BB6" w:rsidP="009C5076" w:rsidRDefault="004E7BB6" w14:paraId="1955719E" w14:textId="77777777">
      <w:pPr>
        <w:pStyle w:val="ListParagraph"/>
        <w:numPr>
          <w:ilvl w:val="0"/>
          <w:numId w:val="20"/>
        </w:numPr>
        <w:spacing w:line="276" w:lineRule="auto"/>
        <w:ind w:left="434"/>
        <w:jc w:val="both"/>
        <w:rPr>
          <w:rFonts w:ascii="Calibri" w:hAnsi="Calibri" w:eastAsia="Garamond" w:cs="Calibri"/>
          <w:b/>
          <w:color w:val="0070C0"/>
        </w:rPr>
      </w:pPr>
      <w:r w:rsidRPr="00B34456">
        <w:rPr>
          <w:rFonts w:ascii="Calibri" w:hAnsi="Calibri" w:eastAsia="Garamond" w:cs="Calibri"/>
          <w:b/>
          <w:color w:val="0070C0"/>
        </w:rPr>
        <w:t>Irregolarità emerse dai controlli dell’Autorità di Audit:</w:t>
      </w:r>
    </w:p>
    <w:p w:rsidRPr="00CB2205" w:rsidR="004E7BB6" w:rsidP="00B34456" w:rsidRDefault="35CD470B" w14:paraId="7DF477B0" w14:textId="77777777">
      <w:pPr>
        <w:spacing w:line="276" w:lineRule="auto"/>
        <w:ind w:left="74" w:right="2"/>
        <w:jc w:val="both"/>
        <w:rPr>
          <w:rFonts w:ascii="Calibri" w:hAnsi="Calibri" w:cs="Calibri"/>
        </w:rPr>
      </w:pPr>
      <w:r w:rsidRPr="35CD470B">
        <w:rPr>
          <w:rFonts w:ascii="Calibri" w:hAnsi="Calibri" w:cs="Calibri"/>
        </w:rPr>
        <w:t>Qualora l’Autorità di Audit riceva una segnalazione di irregolarità, tale segnalazione sarà accompagnata da tutte le informazioni necessarie per consentire una valutazione completa e accurata da parte dell’Autorità di Gestione.</w:t>
      </w:r>
    </w:p>
    <w:p w:rsidR="35CD470B" w:rsidP="35CD470B" w:rsidRDefault="35CD470B" w14:paraId="148E0037" w14:textId="61CAE946">
      <w:pPr>
        <w:spacing w:line="276" w:lineRule="auto"/>
        <w:ind w:left="74" w:right="2"/>
        <w:jc w:val="both"/>
        <w:rPr>
          <w:rFonts w:ascii="Calibri" w:hAnsi="Calibri" w:cs="Calibri"/>
        </w:rPr>
      </w:pPr>
    </w:p>
    <w:p w:rsidRPr="00B34456" w:rsidR="004E7BB6" w:rsidP="009C5076" w:rsidRDefault="004E7BB6" w14:paraId="7805617F" w14:textId="77777777">
      <w:pPr>
        <w:pStyle w:val="ListParagraph"/>
        <w:numPr>
          <w:ilvl w:val="0"/>
          <w:numId w:val="20"/>
        </w:numPr>
        <w:spacing w:line="276" w:lineRule="auto"/>
        <w:ind w:left="434"/>
        <w:jc w:val="both"/>
        <w:rPr>
          <w:rFonts w:ascii="Calibri" w:hAnsi="Calibri" w:eastAsia="Garamond" w:cs="Calibri"/>
          <w:b/>
          <w:color w:val="0070C0"/>
        </w:rPr>
      </w:pPr>
      <w:r w:rsidRPr="00B34456">
        <w:rPr>
          <w:rFonts w:ascii="Calibri" w:hAnsi="Calibri" w:eastAsia="Garamond" w:cs="Calibri"/>
          <w:b/>
          <w:color w:val="0070C0"/>
        </w:rPr>
        <w:t>Irregolarità individuate da organismi di controllo esterni al Programma:</w:t>
      </w:r>
    </w:p>
    <w:p w:rsidR="004E7BB6" w:rsidP="00B34456" w:rsidRDefault="35CD470B" w14:paraId="20E350C3" w14:textId="11E87C2F">
      <w:pPr>
        <w:spacing w:line="276" w:lineRule="auto"/>
        <w:jc w:val="both"/>
        <w:rPr>
          <w:rFonts w:ascii="Calibri" w:hAnsi="Calibri" w:cs="Calibri"/>
        </w:rPr>
      </w:pPr>
      <w:r w:rsidRPr="35CD470B">
        <w:rPr>
          <w:rFonts w:ascii="Calibri" w:hAnsi="Calibri" w:cs="Calibri"/>
        </w:rPr>
        <w:t>Nel caso in cui le irregolarità siano rilevate da Autorità esterne al Sistema di Gestione e Controllo del Programma cofinanziato (come le Procure Penali, la Polizia Tributaria o Giudiziaria, etc.), l’Autorità di Gestione procede a verificare la conformità dell’irregolarità alle norme europee e nazionali. Inoltre, effettua un controllo approfondito degli importi finanziari coinvolti per garantire la corretta identificazione delle quote di cofinanziamento, verificare l’adeguatezza delle erogazioni e adottare eventuali provvedimenti correttivi.</w:t>
      </w:r>
    </w:p>
    <w:p w:rsidR="35CD470B" w:rsidP="35CD470B" w:rsidRDefault="35CD470B" w14:paraId="1E611C0C" w14:textId="271189E5">
      <w:pPr>
        <w:spacing w:line="276" w:lineRule="auto"/>
        <w:jc w:val="both"/>
        <w:rPr>
          <w:rFonts w:ascii="Calibri" w:hAnsi="Calibri" w:cs="Calibri"/>
        </w:rPr>
      </w:pPr>
    </w:p>
    <w:p w:rsidRPr="004178F2" w:rsidR="001E479E" w:rsidP="00B34456" w:rsidRDefault="001E479E" w14:paraId="25397249" w14:textId="77777777">
      <w:pPr>
        <w:spacing w:line="276" w:lineRule="auto"/>
        <w:jc w:val="both"/>
        <w:rPr>
          <w:rFonts w:ascii="Calibri" w:hAnsi="Calibri" w:cs="Calibri"/>
          <w:b/>
          <w:bCs/>
          <w:color w:val="0070C0"/>
        </w:rPr>
      </w:pPr>
      <w:r w:rsidRPr="004178F2">
        <w:rPr>
          <w:rFonts w:ascii="Calibri" w:hAnsi="Calibri" w:cs="Calibri"/>
          <w:b/>
          <w:bCs/>
          <w:color w:val="0070C0"/>
        </w:rPr>
        <w:t>FLUSSO DELLE INFORMAZIONI SULLE IRREGOLARITÀ/FRODI</w:t>
      </w:r>
    </w:p>
    <w:p w:rsidR="004F7CFC" w:rsidP="00B34456" w:rsidRDefault="35CD470B" w14:paraId="7A77EEFC" w14:textId="67459E25">
      <w:pPr>
        <w:spacing w:line="276" w:lineRule="auto"/>
        <w:jc w:val="both"/>
        <w:rPr>
          <w:rFonts w:ascii="Calibri" w:hAnsi="Calibri" w:cs="Calibri"/>
        </w:rPr>
      </w:pPr>
      <w:r w:rsidRPr="00905CE3">
        <w:rPr>
          <w:rFonts w:ascii="Calibri" w:hAnsi="Calibri" w:cs="Calibri"/>
        </w:rPr>
        <w:t xml:space="preserve">L’Autorità di Gestione, attraverso il </w:t>
      </w:r>
      <w:r w:rsidRPr="00905CE3">
        <w:rPr>
          <w:rFonts w:ascii="Calibri" w:hAnsi="Calibri" w:cs="Calibri"/>
          <w:b/>
          <w:bCs/>
        </w:rPr>
        <w:t>Responsabile dell’Unità operativa 4</w:t>
      </w:r>
      <w:r w:rsidRPr="00905CE3">
        <w:rPr>
          <w:rFonts w:ascii="Calibri" w:hAnsi="Calibri" w:cs="Calibri"/>
        </w:rPr>
        <w:t xml:space="preserve">, tiene un </w:t>
      </w:r>
      <w:r w:rsidRPr="00905CE3">
        <w:rPr>
          <w:rFonts w:ascii="Calibri" w:hAnsi="Calibri" w:cs="Calibri"/>
          <w:b/>
          <w:bCs/>
        </w:rPr>
        <w:t xml:space="preserve">archivio </w:t>
      </w:r>
      <w:r w:rsidRPr="00905CE3">
        <w:rPr>
          <w:rFonts w:ascii="Calibri" w:hAnsi="Calibri" w:cs="Calibri"/>
        </w:rPr>
        <w:t>delle varie operazioni oggetto irregolarità o frodi, rilevate nell’ambito dei controlli condotti sulle operazioni dai soggetti preposti ai controlli o da altri organismi di controllo</w:t>
      </w:r>
      <w:r w:rsidRPr="35CD470B">
        <w:rPr>
          <w:rFonts w:ascii="Calibri" w:hAnsi="Calibri" w:cs="Calibri"/>
        </w:rPr>
        <w:t xml:space="preserve"> ed eventualmente segnalate al OLAF in grado di registrare e conservare i dati relativi a ciascuna operazione. I verbali relativi alle verifiche effettuate che accertano le irregolarità dovranno contenere tutti gli elementi relativi alla carenza e/o irregolarità rilevata. In particolare, l'AdG fornirà all'Autorità Contabile le informazioni necessarie per la tenuta del Registro dei Ritiri, riguardanti l'avanzamento dei controlli, i loro esiti, le procedure di comunicazione delle irregolarità o frodi e le procedure di registrazione dei ritiri e delle detrazioni per i conti. Questa attività sarà condivisa con l'Autorità di Audit. L’Autorità di Gestione, inoltre, è tenuta ad aggiornare e informare la Commissione sui vari procedimenti avviati e su sulla loro evoluzione. L’ Autorità Contabile, basandosi sulle informazioni fornite dal Referente per le irregolarità monitora il trattamento delle carenze e irregolarità rilevate ai fini della presentazione delle domande di pagamento e della presentazione dei conti.</w:t>
      </w:r>
    </w:p>
    <w:p w:rsidR="004F7CFC" w:rsidP="00C65956" w:rsidRDefault="004F7CFC" w14:paraId="49C2B40D" w14:textId="77777777">
      <w:pPr>
        <w:spacing w:before="120" w:after="120" w:line="276" w:lineRule="auto"/>
        <w:jc w:val="both"/>
        <w:rPr>
          <w:rFonts w:ascii="Calibri" w:hAnsi="Calibri" w:cs="Calibri"/>
        </w:rPr>
      </w:pPr>
    </w:p>
    <w:p w:rsidRPr="00DB7DE5" w:rsidR="00294619" w:rsidP="009C5076" w:rsidRDefault="52C5CEAB" w14:paraId="7888B704" w14:textId="422D8C00">
      <w:pPr>
        <w:pStyle w:val="Heading2"/>
        <w:numPr>
          <w:ilvl w:val="1"/>
          <w:numId w:val="45"/>
        </w:numPr>
        <w:rPr>
          <w:rFonts w:ascii="Calibri" w:hAnsi="Calibri" w:cs="Calibri"/>
          <w:b/>
          <w:bCs/>
          <w:color w:val="215E99" w:themeColor="text2" w:themeTint="BF"/>
          <w:sz w:val="28"/>
          <w:szCs w:val="28"/>
        </w:rPr>
      </w:pPr>
      <w:bookmarkStart w:name="_Toc173426680" w:id="52"/>
      <w:r w:rsidRPr="52C5CEAB">
        <w:rPr>
          <w:rFonts w:ascii="Calibri" w:hAnsi="Calibri" w:cs="Calibri"/>
          <w:b/>
          <w:bCs/>
          <w:color w:val="215E99" w:themeColor="text2" w:themeTint="BF"/>
          <w:sz w:val="28"/>
          <w:szCs w:val="28"/>
        </w:rPr>
        <w:t xml:space="preserve">  </w:t>
      </w:r>
      <w:r w:rsidR="005276B2">
        <w:rPr>
          <w:rFonts w:ascii="Calibri" w:hAnsi="Calibri" w:cs="Calibri"/>
          <w:b/>
          <w:bCs/>
          <w:color w:val="215E99" w:themeColor="text2" w:themeTint="BF"/>
          <w:sz w:val="28"/>
          <w:szCs w:val="28"/>
        </w:rPr>
        <w:t xml:space="preserve"> </w:t>
      </w:r>
      <w:bookmarkStart w:name="_Toc190354121" w:id="53"/>
      <w:r w:rsidRPr="52C5CEAB">
        <w:rPr>
          <w:rFonts w:ascii="Calibri" w:hAnsi="Calibri" w:cs="Calibri"/>
          <w:b/>
          <w:bCs/>
          <w:color w:val="215E99" w:themeColor="text2" w:themeTint="BF"/>
          <w:sz w:val="28"/>
          <w:szCs w:val="28"/>
        </w:rPr>
        <w:t>Trattamento delle irregolarità</w:t>
      </w:r>
      <w:bookmarkEnd w:id="52"/>
      <w:bookmarkEnd w:id="53"/>
    </w:p>
    <w:p w:rsidRPr="000A24C7" w:rsidR="006B381C" w:rsidP="007879AB" w:rsidRDefault="006B381C" w14:paraId="0239AB7E" w14:textId="5CDC37CC">
      <w:pPr>
        <w:spacing w:before="120" w:after="120" w:line="276" w:lineRule="auto"/>
        <w:jc w:val="both"/>
        <w:rPr>
          <w:rFonts w:ascii="Calibri" w:hAnsi="Calibri" w:cs="Calibri"/>
        </w:rPr>
      </w:pPr>
      <w:r w:rsidRPr="000A24C7">
        <w:rPr>
          <w:rFonts w:ascii="Calibri" w:hAnsi="Calibri" w:cs="Calibri"/>
        </w:rPr>
        <w:t>La normativa europea in materia di irregolarità attribuisce agli Stati membri la responsabilità di garantire l’adempimento degli obblighi di gestione, controllo e audit, assumendosi le relative conseguenze. L’Autorità di Gestione del P</w:t>
      </w:r>
      <w:r w:rsidR="007879AB">
        <w:rPr>
          <w:rFonts w:ascii="Calibri" w:hAnsi="Calibri" w:cs="Calibri"/>
        </w:rPr>
        <w:t>N</w:t>
      </w:r>
      <w:r w:rsidRPr="000A24C7">
        <w:rPr>
          <w:rFonts w:ascii="Calibri" w:hAnsi="Calibri" w:cs="Calibri"/>
        </w:rPr>
        <w:t xml:space="preserve"> Cultura è responsabile di assicurare la legittimità e la regolarità delle spese incluse nei conti presentati alla Commissione Europea.</w:t>
      </w:r>
    </w:p>
    <w:p w:rsidRPr="000A24C7" w:rsidR="006B381C" w:rsidP="007879AB" w:rsidRDefault="006B381C" w14:paraId="7974AC14" w14:textId="77777777">
      <w:pPr>
        <w:spacing w:before="120" w:after="120" w:line="276" w:lineRule="auto"/>
        <w:jc w:val="both"/>
        <w:rPr>
          <w:rFonts w:ascii="Calibri" w:hAnsi="Calibri" w:cs="Calibri"/>
        </w:rPr>
      </w:pPr>
      <w:r w:rsidRPr="000A24C7">
        <w:rPr>
          <w:rFonts w:ascii="Calibri" w:hAnsi="Calibri" w:cs="Calibri"/>
        </w:rPr>
        <w:t>A tal fine, il presente Manuale è stato concepito come uno strumento per armonizzare e definire le procedure relative alla gestione delle decertificazioni derivanti da carenze, irregolarità o ritiri, fornendo indicazioni chiare sulle modalità di trattamento delle diverse tipologie di anomalie riscontrate.</w:t>
      </w:r>
    </w:p>
    <w:p w:rsidRPr="000A24C7" w:rsidR="000A6B00" w:rsidP="007879AB" w:rsidRDefault="35CD470B" w14:paraId="31C2DEF8" w14:textId="74D0D432">
      <w:pPr>
        <w:spacing w:before="120" w:after="120" w:line="276" w:lineRule="auto"/>
        <w:jc w:val="both"/>
        <w:rPr>
          <w:rFonts w:ascii="Calibri" w:hAnsi="Calibri" w:cs="Calibri"/>
        </w:rPr>
      </w:pPr>
      <w:r w:rsidRPr="35CD470B">
        <w:rPr>
          <w:rFonts w:ascii="Calibri" w:hAnsi="Calibri" w:cs="Calibri"/>
        </w:rPr>
        <w:t>Allo scopo di definire puntualmente le modalità di trattamento delle diverse tipologie di irregolarità, occorre stabilire preliminarmente la natura delle decurtazioni finanziarie applicabili a seconda delle anomalie riscontrate ed il relativo trattamento ai fini della certificazione della spesa. Le decurtazioni finanziarie applicabili, infatti, possono avere natura restitutoria o sanzionatoria.</w:t>
      </w:r>
    </w:p>
    <w:p w:rsidRPr="00CB2205" w:rsidR="006B381C" w:rsidP="007879AB" w:rsidRDefault="006B381C" w14:paraId="51168029" w14:textId="34A4FE3E">
      <w:pPr>
        <w:spacing w:before="120" w:after="120" w:line="276" w:lineRule="auto"/>
        <w:jc w:val="both"/>
        <w:rPr>
          <w:rFonts w:ascii="Calibri" w:hAnsi="Calibri" w:cs="Calibri"/>
        </w:rPr>
      </w:pPr>
      <w:r w:rsidRPr="00CB2205">
        <w:rPr>
          <w:rFonts w:ascii="Calibri" w:hAnsi="Calibri" w:cs="Calibri" w:eastAsiaTheme="majorEastAsia"/>
          <w:b/>
          <w:color w:val="0070C0"/>
        </w:rPr>
        <w:t>Natura restitutoria</w:t>
      </w:r>
      <w:r w:rsidRPr="00CB2205">
        <w:rPr>
          <w:rFonts w:ascii="Calibri" w:hAnsi="Calibri" w:cs="Calibri"/>
          <w:color w:val="0070C0"/>
        </w:rPr>
        <w:t>:</w:t>
      </w:r>
      <w:r w:rsidRPr="000A24C7" w:rsidR="005C3868">
        <w:rPr>
          <w:rFonts w:ascii="Calibri" w:hAnsi="Calibri" w:cs="Calibri"/>
        </w:rPr>
        <w:t xml:space="preserve"> </w:t>
      </w:r>
      <w:r w:rsidRPr="000A24C7">
        <w:rPr>
          <w:rFonts w:ascii="Calibri" w:hAnsi="Calibri" w:cs="Calibri"/>
        </w:rPr>
        <w:t>Questa si verifica quando l’irregolarità rilevata comporta la decurtazione dell’intero importo oggetto di anomalia. In questi casi, l’importo è calcolato secondo criteri oggettivi e verificabili.</w:t>
      </w:r>
    </w:p>
    <w:p w:rsidR="006B381C" w:rsidP="007879AB" w:rsidRDefault="006B381C" w14:paraId="0AF917F2" w14:textId="0B203AA6">
      <w:pPr>
        <w:spacing w:before="120" w:after="120" w:line="276" w:lineRule="auto"/>
        <w:jc w:val="both"/>
        <w:rPr>
          <w:rFonts w:ascii="Calibri" w:hAnsi="Calibri" w:cs="Calibri"/>
        </w:rPr>
      </w:pPr>
      <w:r w:rsidRPr="006B381C">
        <w:rPr>
          <w:rFonts w:ascii="Calibri" w:hAnsi="Calibri" w:cs="Calibri" w:eastAsiaTheme="majorEastAsia"/>
          <w:b/>
          <w:color w:val="0070C0"/>
        </w:rPr>
        <w:t>Natura sanzionatoria</w:t>
      </w:r>
      <w:r w:rsidRPr="00CB2205">
        <w:rPr>
          <w:rFonts w:ascii="Calibri" w:hAnsi="Calibri" w:cs="Calibri"/>
        </w:rPr>
        <w:t>:</w:t>
      </w:r>
      <w:r w:rsidRPr="00CB2205" w:rsidR="005C3868">
        <w:rPr>
          <w:rFonts w:ascii="Calibri" w:hAnsi="Calibri" w:cs="Calibri"/>
        </w:rPr>
        <w:t xml:space="preserve"> </w:t>
      </w:r>
      <w:r w:rsidRPr="00CB2205">
        <w:rPr>
          <w:rFonts w:ascii="Calibri" w:hAnsi="Calibri" w:cs="Calibri"/>
        </w:rPr>
        <w:t>La decurtazione non è vincolata alla verifica del costo reale sostenuto dal beneficiario, ma si basa su criteri predeterminati e proporzionali</w:t>
      </w:r>
      <w:r w:rsidR="00190843">
        <w:rPr>
          <w:rFonts w:ascii="Calibri" w:hAnsi="Calibri" w:cs="Calibri"/>
        </w:rPr>
        <w:t xml:space="preserve">, </w:t>
      </w:r>
      <w:r w:rsidR="00C958E8">
        <w:rPr>
          <w:rFonts w:ascii="Calibri" w:hAnsi="Calibri" w:cs="Calibri"/>
        </w:rPr>
        <w:t>taglio fo</w:t>
      </w:r>
      <w:r w:rsidR="00190843">
        <w:rPr>
          <w:rFonts w:ascii="Calibri" w:hAnsi="Calibri" w:cs="Calibri"/>
        </w:rPr>
        <w:t>rfettario</w:t>
      </w:r>
      <w:r w:rsidRPr="00CB2205">
        <w:rPr>
          <w:rFonts w:ascii="Calibri" w:hAnsi="Calibri" w:cs="Calibri"/>
        </w:rPr>
        <w:t xml:space="preserve"> della spesa, come previsto dagli “Orientamenti della Commissione Europea per la determinazione delle rettifiche finanziarie in caso di mancato rispetto della normativa sugli appalti</w:t>
      </w:r>
      <w:r w:rsidR="00190843">
        <w:rPr>
          <w:rFonts w:ascii="Calibri" w:hAnsi="Calibri" w:cs="Calibri"/>
        </w:rPr>
        <w:t>”.</w:t>
      </w:r>
    </w:p>
    <w:p w:rsidRPr="000439D5" w:rsidR="006B381C" w:rsidP="00190843" w:rsidRDefault="006B381C" w14:paraId="11185251" w14:textId="77777777">
      <w:pPr>
        <w:spacing w:line="276" w:lineRule="auto"/>
        <w:jc w:val="both"/>
        <w:rPr>
          <w:rFonts w:ascii="Calibri" w:hAnsi="Calibri" w:cs="Calibri"/>
          <w:b/>
          <w:bCs/>
          <w:color w:val="0070C0"/>
        </w:rPr>
      </w:pPr>
      <w:r w:rsidRPr="006B381C">
        <w:rPr>
          <w:rFonts w:ascii="Calibri" w:hAnsi="Calibri" w:cs="Calibri" w:eastAsiaTheme="majorEastAsia"/>
          <w:b/>
          <w:color w:val="0070C0"/>
        </w:rPr>
        <w:t>Trattamento delle irregolarità nei progetti</w:t>
      </w:r>
    </w:p>
    <w:p w:rsidRPr="00CB2205" w:rsidR="006B381C" w:rsidP="00190843" w:rsidRDefault="006B381C" w14:paraId="6D1AB820" w14:textId="77777777">
      <w:pPr>
        <w:spacing w:line="276" w:lineRule="auto"/>
        <w:jc w:val="both"/>
        <w:rPr>
          <w:rFonts w:ascii="Calibri" w:hAnsi="Calibri" w:cs="Calibri"/>
        </w:rPr>
      </w:pPr>
      <w:r w:rsidRPr="00CB2205">
        <w:rPr>
          <w:rFonts w:ascii="Calibri" w:hAnsi="Calibri" w:cs="Calibri"/>
        </w:rPr>
        <w:t>Le modalità di trattamento delle irregolarità variano a seconda che si tratti di progetti finanziati a costi reali o a costi semplificati. Gli articoli 69 (paragrafi 2 e 12) e 74 (paragrafo 1, lettera d) del Regolamento (UE) 2021/1060 stabiliscono che gli Stati membri e, in particolare, le AdG, devono adottare tutte le azioni necessarie per prevenire, individuare, rettificare e segnalare le irregolarità, incluse le frodi.</w:t>
      </w:r>
    </w:p>
    <w:p w:rsidRPr="00CB2205" w:rsidR="006B381C" w:rsidP="007879AB" w:rsidRDefault="006B381C" w14:paraId="3516A780" w14:textId="77777777">
      <w:pPr>
        <w:spacing w:before="120" w:after="120" w:line="276" w:lineRule="auto"/>
        <w:jc w:val="both"/>
        <w:rPr>
          <w:rFonts w:ascii="Calibri" w:hAnsi="Calibri" w:cs="Calibri"/>
        </w:rPr>
      </w:pPr>
      <w:r w:rsidRPr="00CB2205">
        <w:rPr>
          <w:rFonts w:ascii="Calibri" w:hAnsi="Calibri" w:cs="Calibri"/>
        </w:rPr>
        <w:t>L’AdG segnala le irregolarità conformemente all’articolo 69, paragrafo 12, del Regolamento (UE) 2021/1060, seguendo le modalità specificate nell’Allegato XII dello stesso Regolamento.</w:t>
      </w:r>
    </w:p>
    <w:p w:rsidRPr="00CB2205" w:rsidR="006B381C" w:rsidP="00190843" w:rsidRDefault="006B381C" w14:paraId="4124A75A" w14:textId="77777777">
      <w:pPr>
        <w:spacing w:line="276" w:lineRule="auto"/>
        <w:jc w:val="both"/>
        <w:rPr>
          <w:rFonts w:ascii="Calibri" w:hAnsi="Calibri" w:cs="Calibri"/>
          <w:b/>
          <w:bCs/>
        </w:rPr>
      </w:pPr>
      <w:r w:rsidRPr="006B381C">
        <w:rPr>
          <w:rFonts w:ascii="Calibri" w:hAnsi="Calibri" w:cs="Calibri" w:eastAsiaTheme="majorEastAsia"/>
          <w:b/>
          <w:color w:val="0070C0"/>
        </w:rPr>
        <w:t>Accertamento e gestione delle irregolarità</w:t>
      </w:r>
    </w:p>
    <w:p w:rsidRPr="00CB2205" w:rsidR="006B381C" w:rsidP="00190843" w:rsidRDefault="006B381C" w14:paraId="3634F6F8" w14:textId="77777777">
      <w:pPr>
        <w:spacing w:line="276" w:lineRule="auto"/>
        <w:jc w:val="both"/>
        <w:rPr>
          <w:rFonts w:ascii="Calibri" w:hAnsi="Calibri" w:cs="Calibri"/>
        </w:rPr>
      </w:pPr>
      <w:r w:rsidRPr="00CB2205">
        <w:rPr>
          <w:rFonts w:ascii="Calibri" w:hAnsi="Calibri" w:cs="Calibri"/>
        </w:rPr>
        <w:t>Le irregolarità possono essere rilevate e/o denunciate da vari soggetti, tra cui:</w:t>
      </w:r>
    </w:p>
    <w:p w:rsidRPr="00CB2205" w:rsidR="006B381C" w:rsidP="009C5076" w:rsidRDefault="006B381C" w14:paraId="28F368AE" w14:textId="77777777">
      <w:pPr>
        <w:pStyle w:val="ListParagraph"/>
        <w:numPr>
          <w:ilvl w:val="0"/>
          <w:numId w:val="21"/>
        </w:numPr>
        <w:spacing w:before="120" w:after="120" w:line="276" w:lineRule="auto"/>
        <w:ind w:left="284"/>
        <w:jc w:val="both"/>
        <w:rPr>
          <w:rFonts w:ascii="Calibri" w:hAnsi="Calibri" w:cs="Calibri"/>
        </w:rPr>
      </w:pPr>
      <w:r w:rsidRPr="00CB2205">
        <w:rPr>
          <w:rFonts w:ascii="Calibri" w:hAnsi="Calibri" w:cs="Calibri"/>
        </w:rPr>
        <w:t>Controllori di primo livello (amministrativi e in loco);</w:t>
      </w:r>
    </w:p>
    <w:p w:rsidRPr="00CB2205" w:rsidR="006B381C" w:rsidP="009C5076" w:rsidRDefault="006B381C" w14:paraId="2D4C1EB0" w14:textId="77777777">
      <w:pPr>
        <w:pStyle w:val="ListParagraph"/>
        <w:numPr>
          <w:ilvl w:val="0"/>
          <w:numId w:val="21"/>
        </w:numPr>
        <w:spacing w:before="120" w:after="120" w:line="276" w:lineRule="auto"/>
        <w:ind w:left="284"/>
        <w:jc w:val="both"/>
        <w:rPr>
          <w:rFonts w:ascii="Calibri" w:hAnsi="Calibri" w:cs="Calibri"/>
        </w:rPr>
      </w:pPr>
      <w:r w:rsidRPr="00CB2205">
        <w:rPr>
          <w:rFonts w:ascii="Calibri" w:hAnsi="Calibri" w:cs="Calibri"/>
        </w:rPr>
        <w:t>Autorità di Audit;</w:t>
      </w:r>
    </w:p>
    <w:p w:rsidRPr="00CB2205" w:rsidR="006B381C" w:rsidP="009C5076" w:rsidRDefault="006B381C" w14:paraId="5C420F84" w14:textId="77777777">
      <w:pPr>
        <w:pStyle w:val="ListParagraph"/>
        <w:numPr>
          <w:ilvl w:val="0"/>
          <w:numId w:val="21"/>
        </w:numPr>
        <w:spacing w:before="120" w:after="120" w:line="276" w:lineRule="auto"/>
        <w:ind w:left="284"/>
        <w:jc w:val="both"/>
        <w:rPr>
          <w:rFonts w:ascii="Calibri" w:hAnsi="Calibri" w:cs="Calibri"/>
        </w:rPr>
      </w:pPr>
      <w:r w:rsidRPr="00CB2205">
        <w:rPr>
          <w:rFonts w:ascii="Calibri" w:hAnsi="Calibri" w:cs="Calibri"/>
        </w:rPr>
        <w:t>Commissione Europea;</w:t>
      </w:r>
    </w:p>
    <w:p w:rsidRPr="00CB2205" w:rsidR="006B381C" w:rsidP="009C5076" w:rsidRDefault="006B381C" w14:paraId="6D5A2307" w14:textId="77777777">
      <w:pPr>
        <w:pStyle w:val="ListParagraph"/>
        <w:numPr>
          <w:ilvl w:val="0"/>
          <w:numId w:val="21"/>
        </w:numPr>
        <w:spacing w:before="120" w:after="120" w:line="276" w:lineRule="auto"/>
        <w:ind w:left="284"/>
        <w:jc w:val="both"/>
        <w:rPr>
          <w:rFonts w:ascii="Calibri" w:hAnsi="Calibri" w:cs="Calibri"/>
        </w:rPr>
      </w:pPr>
      <w:proofErr w:type="gramStart"/>
      <w:r w:rsidRPr="00CB2205">
        <w:rPr>
          <w:rFonts w:ascii="Calibri" w:hAnsi="Calibri" w:cs="Calibri"/>
        </w:rPr>
        <w:t>Corte dei Conti</w:t>
      </w:r>
      <w:proofErr w:type="gramEnd"/>
      <w:r w:rsidRPr="00CB2205">
        <w:rPr>
          <w:rFonts w:ascii="Calibri" w:hAnsi="Calibri" w:cs="Calibri"/>
        </w:rPr>
        <w:t xml:space="preserve"> Europea;</w:t>
      </w:r>
    </w:p>
    <w:p w:rsidRPr="00CB2205" w:rsidR="006B381C" w:rsidP="009C5076" w:rsidRDefault="00F31FAD" w14:paraId="35FEA8D9" w14:textId="6E7DA218">
      <w:pPr>
        <w:pStyle w:val="ListParagraph"/>
        <w:numPr>
          <w:ilvl w:val="0"/>
          <w:numId w:val="21"/>
        </w:numPr>
        <w:spacing w:before="120" w:after="120" w:line="276" w:lineRule="auto"/>
        <w:ind w:left="284"/>
        <w:jc w:val="both"/>
        <w:rPr>
          <w:rFonts w:ascii="Calibri" w:hAnsi="Calibri" w:cs="Calibri"/>
        </w:rPr>
      </w:pPr>
      <w:r w:rsidRPr="00CB2205">
        <w:rPr>
          <w:rFonts w:ascii="Calibri" w:hAnsi="Calibri" w:cs="Calibri"/>
        </w:rPr>
        <w:t>A</w:t>
      </w:r>
      <w:r w:rsidRPr="00CB2205" w:rsidR="006B381C">
        <w:rPr>
          <w:rFonts w:ascii="Calibri" w:hAnsi="Calibri" w:cs="Calibri"/>
        </w:rPr>
        <w:t xml:space="preserve">ltri </w:t>
      </w:r>
      <w:r w:rsidRPr="00CB2205" w:rsidR="00486ED6">
        <w:rPr>
          <w:rFonts w:ascii="Calibri" w:hAnsi="Calibri" w:cs="Calibri"/>
        </w:rPr>
        <w:t>soggetti interni al</w:t>
      </w:r>
      <w:r w:rsidRPr="00CB2205" w:rsidR="006B381C">
        <w:rPr>
          <w:rFonts w:ascii="Calibri" w:hAnsi="Calibri" w:cs="Calibri"/>
        </w:rPr>
        <w:t xml:space="preserve"> Programma.</w:t>
      </w:r>
    </w:p>
    <w:p w:rsidRPr="00CB2205" w:rsidR="006B381C" w:rsidP="007879AB" w:rsidRDefault="35CD470B" w14:paraId="05A0567E" w14:textId="0A696B71">
      <w:pPr>
        <w:spacing w:before="120" w:after="120" w:line="276" w:lineRule="auto"/>
        <w:jc w:val="both"/>
        <w:rPr>
          <w:rFonts w:ascii="Calibri" w:hAnsi="Calibri" w:cs="Calibri"/>
        </w:rPr>
      </w:pPr>
      <w:r w:rsidRPr="35CD470B">
        <w:rPr>
          <w:rFonts w:ascii="Calibri" w:hAnsi="Calibri" w:cs="Calibri"/>
        </w:rPr>
        <w:t>Dopo aver ricevuto una segnalazione, l’AdG notifica l’accertamento dell’irregolarità al Beneficiario, che può avviare una fase interlocutoria. Durante questa fase, il beneficiario è invitato a fornire chiarimenti o integrare la documentazione presentata in sede di verifica.</w:t>
      </w:r>
    </w:p>
    <w:p w:rsidRPr="00A80D27" w:rsidR="006B381C" w:rsidP="00A80D27" w:rsidRDefault="006B381C" w14:paraId="7322C216" w14:textId="77777777">
      <w:pPr>
        <w:spacing w:line="276" w:lineRule="auto"/>
        <w:jc w:val="both"/>
        <w:rPr>
          <w:rFonts w:ascii="Calibri" w:hAnsi="Calibri" w:cs="Calibri"/>
          <w:b/>
          <w:bCs/>
          <w:color w:val="0070C0"/>
        </w:rPr>
      </w:pPr>
      <w:r w:rsidRPr="00A80D27">
        <w:rPr>
          <w:rFonts w:ascii="Calibri" w:hAnsi="Calibri" w:cs="Calibri" w:eastAsiaTheme="majorEastAsia"/>
          <w:b/>
          <w:color w:val="0070C0"/>
        </w:rPr>
        <w:t>Sospensione dei fondi e conclusione dell’istruttoria</w:t>
      </w:r>
    </w:p>
    <w:p w:rsidRPr="00CB2205" w:rsidR="006B381C" w:rsidP="00A80D27" w:rsidRDefault="006B381C" w14:paraId="177CCD8A" w14:textId="05283BF1">
      <w:pPr>
        <w:spacing w:line="276" w:lineRule="auto"/>
        <w:jc w:val="both"/>
        <w:rPr>
          <w:rFonts w:ascii="Calibri" w:hAnsi="Calibri" w:cs="Calibri"/>
        </w:rPr>
      </w:pPr>
      <w:r w:rsidRPr="00CB2205">
        <w:rPr>
          <w:rFonts w:ascii="Calibri" w:hAnsi="Calibri" w:cs="Calibri"/>
        </w:rPr>
        <w:t>In via cautelativa, l’AdG può sospendere temporaneamente l’erogazione dei fondi per i progetti oggetto di approfondimento fino alla decisione finale.</w:t>
      </w:r>
      <w:r w:rsidRPr="00CB2205" w:rsidR="00E52083">
        <w:rPr>
          <w:rFonts w:ascii="Calibri" w:hAnsi="Calibri" w:cs="Calibri"/>
        </w:rPr>
        <w:t xml:space="preserve"> </w:t>
      </w:r>
    </w:p>
    <w:p w:rsidRPr="00CB2205" w:rsidR="00F92620" w:rsidP="009C5076" w:rsidRDefault="006B381C" w14:paraId="0FD3EE89" w14:textId="0CFA52F0">
      <w:pPr>
        <w:pStyle w:val="ListParagraph"/>
        <w:numPr>
          <w:ilvl w:val="0"/>
          <w:numId w:val="39"/>
        </w:numPr>
        <w:spacing w:before="120" w:after="120" w:line="276" w:lineRule="auto"/>
        <w:ind w:left="426"/>
        <w:jc w:val="both"/>
        <w:rPr>
          <w:rFonts w:ascii="Calibri" w:hAnsi="Calibri" w:cs="Calibri"/>
        </w:rPr>
      </w:pPr>
      <w:r w:rsidRPr="00CB2205">
        <w:rPr>
          <w:rFonts w:ascii="Calibri" w:hAnsi="Calibri" w:cs="Calibri"/>
        </w:rPr>
        <w:t>Se il beneficiario fornisce chiarimenti adeguati e supera le criticità, l’istruttoria si conclude positivamente, e le erogazioni vengono ripristinate.</w:t>
      </w:r>
    </w:p>
    <w:p w:rsidRPr="00886126" w:rsidR="006B381C" w:rsidP="009C5076" w:rsidRDefault="006B381C" w14:paraId="75647D49" w14:textId="77777777">
      <w:pPr>
        <w:pStyle w:val="ListParagraph"/>
        <w:numPr>
          <w:ilvl w:val="0"/>
          <w:numId w:val="39"/>
        </w:numPr>
        <w:spacing w:before="120" w:after="120" w:line="276" w:lineRule="auto"/>
        <w:ind w:left="426"/>
        <w:jc w:val="both"/>
        <w:rPr>
          <w:rFonts w:ascii="Calibri" w:hAnsi="Calibri" w:cs="Calibri"/>
        </w:rPr>
      </w:pPr>
      <w:r w:rsidRPr="00886126">
        <w:rPr>
          <w:rFonts w:ascii="Calibri" w:hAnsi="Calibri" w:cs="Calibri"/>
        </w:rPr>
        <w:t>Se, al contrario, le irregolarità vengono confermate, l’AdG quantifica la spesa inammissibile e procede alla decurtazione dal progetto controllato.</w:t>
      </w:r>
    </w:p>
    <w:p w:rsidRPr="00A80D27" w:rsidR="006B381C" w:rsidP="00A80D27" w:rsidRDefault="006B381C" w14:paraId="2B274857" w14:textId="77777777">
      <w:pPr>
        <w:spacing w:line="276" w:lineRule="auto"/>
        <w:jc w:val="both"/>
        <w:rPr>
          <w:rFonts w:ascii="Calibri" w:hAnsi="Calibri" w:cs="Calibri"/>
          <w:b/>
          <w:bCs/>
          <w:color w:val="0070C0"/>
        </w:rPr>
      </w:pPr>
      <w:r w:rsidRPr="00A80D27">
        <w:rPr>
          <w:rFonts w:ascii="Calibri" w:hAnsi="Calibri" w:cs="Calibri" w:eastAsiaTheme="majorEastAsia"/>
          <w:b/>
          <w:color w:val="0070C0"/>
        </w:rPr>
        <w:t>Trattamento delle spese inammissibili</w:t>
      </w:r>
    </w:p>
    <w:p w:rsidRPr="00CB2205" w:rsidR="006B381C" w:rsidP="00A80D27" w:rsidRDefault="35CD470B" w14:paraId="1D0EFDF6" w14:textId="094B8979">
      <w:pPr>
        <w:spacing w:line="276" w:lineRule="auto"/>
        <w:jc w:val="both"/>
        <w:rPr>
          <w:rFonts w:ascii="Calibri" w:hAnsi="Calibri" w:cs="Calibri"/>
        </w:rPr>
      </w:pPr>
      <w:r w:rsidRPr="35CD470B">
        <w:rPr>
          <w:rFonts w:ascii="Calibri" w:hAnsi="Calibri" w:cs="Calibri" w:eastAsiaTheme="majorEastAsia"/>
          <w:u w:val="single"/>
        </w:rPr>
        <w:t>Spese già certificate alla Commissione Europea</w:t>
      </w:r>
      <w:r w:rsidRPr="35CD470B">
        <w:rPr>
          <w:rFonts w:ascii="Calibri" w:hAnsi="Calibri" w:cs="Calibri"/>
        </w:rPr>
        <w:t xml:space="preserve">: L’AdG redige una Dichiarazione di Irregolarità e ritira l’importo dal progetto interessato. L’Autorità Contabile provvederà alla correzione delle successive certificazioni di spesa registrando la detrazione. </w:t>
      </w:r>
    </w:p>
    <w:p w:rsidR="006B381C" w:rsidP="007879AB" w:rsidRDefault="35CD470B" w14:paraId="63317D5D" w14:textId="31E59C02">
      <w:pPr>
        <w:spacing w:before="120" w:after="120" w:line="276" w:lineRule="auto"/>
        <w:jc w:val="both"/>
        <w:rPr>
          <w:rFonts w:ascii="Calibri" w:hAnsi="Calibri" w:cs="Calibri"/>
        </w:rPr>
      </w:pPr>
      <w:r w:rsidRPr="35CD470B">
        <w:rPr>
          <w:rFonts w:ascii="Calibri" w:hAnsi="Calibri" w:cs="Calibri" w:eastAsiaTheme="majorEastAsia"/>
          <w:u w:val="single"/>
        </w:rPr>
        <w:t>Spese non ancora certificate</w:t>
      </w:r>
      <w:r w:rsidRPr="35CD470B">
        <w:rPr>
          <w:rFonts w:ascii="Calibri" w:hAnsi="Calibri" w:cs="Calibri"/>
        </w:rPr>
        <w:t>: l’AdG rettifica la domanda di rimborso includendo la spesa inammissibile, che viene così rimossa.</w:t>
      </w:r>
    </w:p>
    <w:p w:rsidRPr="00CB2205" w:rsidR="006B381C" w:rsidP="007879AB" w:rsidRDefault="006B381C" w14:paraId="7CA33F0F" w14:textId="77777777">
      <w:pPr>
        <w:spacing w:before="120" w:after="120" w:line="276" w:lineRule="auto"/>
        <w:jc w:val="both"/>
        <w:rPr>
          <w:rFonts w:ascii="Calibri" w:hAnsi="Calibri" w:cs="Calibri"/>
        </w:rPr>
      </w:pPr>
      <w:r w:rsidRPr="00CB2205">
        <w:rPr>
          <w:rFonts w:ascii="Calibri" w:hAnsi="Calibri" w:cs="Calibri"/>
        </w:rPr>
        <w:t>Queste procedure assicurano il rispetto delle normative UE e nazionali, garantendo la trasparenza e la regolarità nella gestione dei fondi.</w:t>
      </w:r>
    </w:p>
    <w:p w:rsidRPr="00DB7DE5" w:rsidR="00294619" w:rsidP="009C5076" w:rsidRDefault="52C5CEAB" w14:paraId="0D97D998" w14:textId="4054A454">
      <w:pPr>
        <w:pStyle w:val="Heading2"/>
        <w:numPr>
          <w:ilvl w:val="1"/>
          <w:numId w:val="45"/>
        </w:numPr>
        <w:rPr>
          <w:rFonts w:ascii="Calibri" w:hAnsi="Calibri" w:cs="Calibri"/>
          <w:b/>
          <w:bCs/>
          <w:color w:val="215E99" w:themeColor="text2" w:themeTint="BF"/>
          <w:sz w:val="28"/>
          <w:szCs w:val="28"/>
        </w:rPr>
      </w:pPr>
      <w:bookmarkStart w:name="_Toc173426681" w:id="54"/>
      <w:r w:rsidRPr="52C5CEAB">
        <w:rPr>
          <w:rFonts w:ascii="Calibri" w:hAnsi="Calibri" w:cs="Calibri"/>
          <w:b/>
          <w:bCs/>
          <w:color w:val="215E99" w:themeColor="text2" w:themeTint="BF"/>
          <w:sz w:val="28"/>
          <w:szCs w:val="28"/>
        </w:rPr>
        <w:t xml:space="preserve">  </w:t>
      </w:r>
      <w:r w:rsidR="005276B2">
        <w:rPr>
          <w:rFonts w:ascii="Calibri" w:hAnsi="Calibri" w:cs="Calibri"/>
          <w:b/>
          <w:bCs/>
          <w:color w:val="215E99" w:themeColor="text2" w:themeTint="BF"/>
          <w:sz w:val="28"/>
          <w:szCs w:val="28"/>
        </w:rPr>
        <w:t xml:space="preserve"> </w:t>
      </w:r>
      <w:bookmarkStart w:name="_Toc190354122" w:id="55"/>
      <w:r w:rsidRPr="52C5CEAB">
        <w:rPr>
          <w:rFonts w:ascii="Calibri" w:hAnsi="Calibri" w:cs="Calibri"/>
          <w:b/>
          <w:bCs/>
          <w:color w:val="215E99" w:themeColor="text2" w:themeTint="BF"/>
          <w:sz w:val="28"/>
          <w:szCs w:val="28"/>
        </w:rPr>
        <w:t>Restituzione delle spese</w:t>
      </w:r>
      <w:bookmarkEnd w:id="54"/>
      <w:bookmarkEnd w:id="55"/>
    </w:p>
    <w:p w:rsidRPr="009758C3" w:rsidR="009758C3" w:rsidP="009758C3" w:rsidRDefault="35CD470B" w14:paraId="68DAC364" w14:textId="509EC348">
      <w:pPr>
        <w:spacing w:before="120" w:after="120" w:line="276" w:lineRule="auto"/>
        <w:ind w:right="-46"/>
        <w:jc w:val="both"/>
        <w:rPr>
          <w:rFonts w:ascii="Calibri" w:hAnsi="Calibri" w:eastAsia="Garamond" w:cs="Calibri"/>
        </w:rPr>
      </w:pPr>
      <w:r w:rsidRPr="35CD470B">
        <w:rPr>
          <w:rFonts w:ascii="Calibri" w:hAnsi="Calibri" w:eastAsia="Garamond" w:cs="Calibri"/>
        </w:rPr>
        <w:t>La restituzione degli importi irregolari da parte del Beneficiario può essere effettuata seguendo diverse procedure, a seconda della situazione specifica:</w:t>
      </w:r>
    </w:p>
    <w:p w:rsidR="009758C3" w:rsidP="009C5076" w:rsidRDefault="35CD470B" w14:paraId="263B7E21" w14:textId="75B670BA">
      <w:pPr>
        <w:numPr>
          <w:ilvl w:val="0"/>
          <w:numId w:val="40"/>
        </w:numPr>
        <w:tabs>
          <w:tab w:val="clear" w:pos="720"/>
        </w:tabs>
        <w:spacing w:before="120" w:after="120" w:line="276" w:lineRule="auto"/>
        <w:ind w:left="284" w:right="-46"/>
        <w:jc w:val="both"/>
        <w:rPr>
          <w:rFonts w:ascii="Calibri" w:hAnsi="Calibri" w:eastAsia="Garamond" w:cs="Calibri"/>
        </w:rPr>
      </w:pPr>
      <w:r w:rsidRPr="35CD470B">
        <w:rPr>
          <w:rFonts w:ascii="Calibri" w:hAnsi="Calibri" w:eastAsia="Garamond" w:cs="Calibri"/>
          <w:b/>
          <w:bCs/>
        </w:rPr>
        <w:t xml:space="preserve">Importo irregolare inferiore al saldo da erogare: </w:t>
      </w:r>
      <w:r w:rsidRPr="35CD470B">
        <w:rPr>
          <w:rFonts w:ascii="Calibri" w:hAnsi="Calibri" w:eastAsia="Garamond" w:cs="Calibri"/>
        </w:rPr>
        <w:t>non è necessario recuperare direttamente le somme erogate al Beneficiario. Si procede semplicemente rimborsando l’importo del saldo spettante, detratto l’importo irregolare.</w:t>
      </w:r>
    </w:p>
    <w:p w:rsidR="00367FC6" w:rsidP="009C5076" w:rsidRDefault="009758C3" w14:paraId="4CC6869F" w14:textId="3E06F5AC">
      <w:pPr>
        <w:numPr>
          <w:ilvl w:val="1"/>
          <w:numId w:val="22"/>
        </w:numPr>
        <w:pBdr>
          <w:top w:val="nil"/>
          <w:left w:val="nil"/>
          <w:bottom w:val="nil"/>
          <w:right w:val="nil"/>
          <w:between w:val="nil"/>
          <w:bar w:val="nil"/>
        </w:pBdr>
        <w:spacing w:before="1" w:after="100" w:afterAutospacing="1" w:line="276" w:lineRule="auto"/>
        <w:ind w:left="284" w:right="2"/>
        <w:jc w:val="both"/>
        <w:rPr>
          <w:rFonts w:ascii="Calibri" w:hAnsi="Calibri" w:eastAsia="Garamond" w:cs="Calibri"/>
        </w:rPr>
      </w:pPr>
      <w:r w:rsidRPr="00A30F08">
        <w:rPr>
          <w:rFonts w:ascii="Calibri" w:hAnsi="Calibri" w:eastAsia="Garamond" w:cs="Calibri"/>
          <w:b/>
          <w:bCs/>
        </w:rPr>
        <w:t>Importo irregolare superiore al saldo da erogare:</w:t>
      </w:r>
      <w:r w:rsidRPr="00A30F08">
        <w:rPr>
          <w:rFonts w:ascii="Calibri" w:hAnsi="Calibri" w:eastAsia="Garamond" w:cs="Calibri"/>
        </w:rPr>
        <w:t xml:space="preserve"> viene richiesta la restituzione diretta dell’importo irregolare, utilizzando il Fondo di Rotazione. </w:t>
      </w:r>
    </w:p>
    <w:p w:rsidRPr="00DB7DE5" w:rsidR="00294619" w:rsidP="009C5076" w:rsidRDefault="52C5CEAB" w14:paraId="158349C7" w14:textId="7255068A">
      <w:pPr>
        <w:pStyle w:val="Heading2"/>
        <w:numPr>
          <w:ilvl w:val="1"/>
          <w:numId w:val="45"/>
        </w:numPr>
        <w:rPr>
          <w:rFonts w:ascii="Calibri" w:hAnsi="Calibri" w:cs="Calibri"/>
          <w:b/>
          <w:bCs/>
          <w:color w:val="215E99" w:themeColor="text2" w:themeTint="BF"/>
          <w:sz w:val="28"/>
          <w:szCs w:val="28"/>
        </w:rPr>
      </w:pPr>
      <w:bookmarkStart w:name="_Toc520974055" w:id="56"/>
      <w:bookmarkStart w:name="_Toc173426682" w:id="57"/>
      <w:r w:rsidRPr="52C5CEAB">
        <w:rPr>
          <w:rFonts w:ascii="Calibri" w:hAnsi="Calibri" w:cs="Calibri"/>
          <w:b/>
          <w:bCs/>
          <w:color w:val="215E99" w:themeColor="text2" w:themeTint="BF"/>
          <w:sz w:val="28"/>
          <w:szCs w:val="28"/>
        </w:rPr>
        <w:t xml:space="preserve">  </w:t>
      </w:r>
      <w:r w:rsidR="005276B2">
        <w:rPr>
          <w:rFonts w:ascii="Calibri" w:hAnsi="Calibri" w:cs="Calibri"/>
          <w:b/>
          <w:bCs/>
          <w:color w:val="215E99" w:themeColor="text2" w:themeTint="BF"/>
          <w:sz w:val="28"/>
          <w:szCs w:val="28"/>
        </w:rPr>
        <w:t xml:space="preserve"> </w:t>
      </w:r>
      <w:bookmarkStart w:name="_Toc190354123" w:id="58"/>
      <w:r w:rsidRPr="52C5CEAB">
        <w:rPr>
          <w:rFonts w:ascii="Calibri" w:hAnsi="Calibri" w:cs="Calibri"/>
          <w:b/>
          <w:bCs/>
          <w:color w:val="215E99" w:themeColor="text2" w:themeTint="BF"/>
          <w:sz w:val="28"/>
          <w:szCs w:val="28"/>
        </w:rPr>
        <w:t>Trattamento degli errori e analisi del rischio</w:t>
      </w:r>
      <w:bookmarkEnd w:id="56"/>
      <w:bookmarkEnd w:id="57"/>
      <w:bookmarkEnd w:id="58"/>
    </w:p>
    <w:p w:rsidRPr="00AA79BA" w:rsidR="00E54B3B" w:rsidP="00AA79BA" w:rsidRDefault="00E54B3B" w14:paraId="37700689" w14:textId="5F753CAC">
      <w:pPr>
        <w:spacing w:line="276" w:lineRule="auto"/>
        <w:jc w:val="both"/>
        <w:rPr>
          <w:rFonts w:ascii="Calibri" w:hAnsi="Calibri" w:eastAsia="Garamond" w:cs="Calibri"/>
        </w:rPr>
      </w:pPr>
      <w:r w:rsidRPr="00E54B3B">
        <w:rPr>
          <w:rFonts w:ascii="Calibri" w:hAnsi="Calibri" w:eastAsia="Garamond" w:cs="Calibri"/>
        </w:rPr>
        <w:t xml:space="preserve">I sistemi di gestione e controllo </w:t>
      </w:r>
      <w:r w:rsidR="00466C39">
        <w:rPr>
          <w:rFonts w:ascii="Calibri" w:hAnsi="Calibri" w:eastAsia="Garamond" w:cs="Calibri"/>
        </w:rPr>
        <w:t xml:space="preserve">che adotta </w:t>
      </w:r>
      <w:r w:rsidRPr="00E54B3B">
        <w:rPr>
          <w:rFonts w:ascii="Calibri" w:hAnsi="Calibri" w:eastAsia="Garamond" w:cs="Calibri"/>
        </w:rPr>
        <w:t xml:space="preserve">l’Autorità di Gestione </w:t>
      </w:r>
      <w:r w:rsidR="00466C39">
        <w:rPr>
          <w:rFonts w:ascii="Calibri" w:hAnsi="Calibri" w:eastAsia="Garamond" w:cs="Calibri"/>
        </w:rPr>
        <w:t xml:space="preserve">hanno il fine di </w:t>
      </w:r>
      <w:r w:rsidRPr="00E54B3B">
        <w:rPr>
          <w:rFonts w:ascii="Calibri" w:hAnsi="Calibri" w:eastAsia="Garamond" w:cs="Calibri"/>
        </w:rPr>
        <w:t xml:space="preserve">garantire la legalità, la regolarità, l’efficacia e l’ammissibilità della spesa dichiarata. </w:t>
      </w:r>
      <w:r w:rsidR="005352C5">
        <w:rPr>
          <w:rFonts w:ascii="Calibri" w:hAnsi="Calibri" w:eastAsia="Garamond" w:cs="Calibri"/>
        </w:rPr>
        <w:t>In linea con quanto previsto dai Regolamenti</w:t>
      </w:r>
      <w:r w:rsidRPr="00E54B3B">
        <w:rPr>
          <w:rFonts w:ascii="Calibri" w:hAnsi="Calibri" w:eastAsia="Garamond" w:cs="Calibri"/>
        </w:rPr>
        <w:t xml:space="preserve">, l'Autorità di Gestione ha il compito di determinare la natura e l’entità degli errori emersi durante le verifiche di primo livello, nonché di valutarne l'impatto </w:t>
      </w:r>
      <w:r w:rsidR="00567F42">
        <w:rPr>
          <w:rFonts w:ascii="Calibri" w:hAnsi="Calibri" w:eastAsia="Garamond" w:cs="Calibri"/>
        </w:rPr>
        <w:t xml:space="preserve">sul </w:t>
      </w:r>
      <w:r w:rsidRPr="00E54B3B">
        <w:rPr>
          <w:rFonts w:ascii="Calibri" w:hAnsi="Calibri" w:eastAsia="Garamond" w:cs="Calibri"/>
        </w:rPr>
        <w:t>Programm</w:t>
      </w:r>
      <w:r w:rsidR="00AD5213">
        <w:rPr>
          <w:rFonts w:ascii="Calibri" w:hAnsi="Calibri" w:eastAsia="Garamond" w:cs="Calibri"/>
        </w:rPr>
        <w:t>a</w:t>
      </w:r>
      <w:r w:rsidR="00567F42">
        <w:rPr>
          <w:rFonts w:ascii="Calibri" w:hAnsi="Calibri" w:eastAsia="Garamond" w:cs="Calibri"/>
        </w:rPr>
        <w:t xml:space="preserve">. </w:t>
      </w:r>
    </w:p>
    <w:p w:rsidR="00AA79BA" w:rsidP="00185CD4" w:rsidRDefault="00667871" w14:paraId="25CE0AC8" w14:textId="50E5DBAB">
      <w:pPr>
        <w:spacing w:line="276" w:lineRule="auto"/>
        <w:jc w:val="both"/>
        <w:rPr>
          <w:rFonts w:ascii="Calibri" w:hAnsi="Calibri" w:eastAsia="Garamond" w:cs="Calibri"/>
        </w:rPr>
      </w:pPr>
      <w:r>
        <w:rPr>
          <w:rFonts w:ascii="Calibri" w:hAnsi="Calibri" w:eastAsia="Garamond" w:cs="Calibri"/>
        </w:rPr>
        <w:t>L’</w:t>
      </w:r>
      <w:r w:rsidR="001145BE">
        <w:rPr>
          <w:rFonts w:ascii="Calibri" w:hAnsi="Calibri" w:eastAsia="Garamond" w:cs="Calibri"/>
        </w:rPr>
        <w:t xml:space="preserve">AdG </w:t>
      </w:r>
      <w:r>
        <w:rPr>
          <w:rFonts w:ascii="Calibri" w:hAnsi="Calibri" w:eastAsia="Garamond" w:cs="Calibri"/>
        </w:rPr>
        <w:t xml:space="preserve">ha il compito di monitorare </w:t>
      </w:r>
      <w:r w:rsidR="001A5CFD">
        <w:rPr>
          <w:rFonts w:ascii="Calibri" w:hAnsi="Calibri" w:eastAsia="Garamond" w:cs="Calibri"/>
        </w:rPr>
        <w:t xml:space="preserve">e rilevare le irregolarità e, quando necessario, </w:t>
      </w:r>
      <w:r w:rsidR="00EF625E">
        <w:rPr>
          <w:rFonts w:ascii="Calibri" w:hAnsi="Calibri" w:eastAsia="Garamond" w:cs="Calibri"/>
        </w:rPr>
        <w:t>adottare dei provvedimenti</w:t>
      </w:r>
      <w:r w:rsidR="00185CD4">
        <w:rPr>
          <w:rFonts w:ascii="Calibri" w:hAnsi="Calibri" w:eastAsia="Garamond" w:cs="Calibri"/>
        </w:rPr>
        <w:t xml:space="preserve"> applicando le rettifiche finanziarie previste. Valuta, inoltre, se le irregolarità riscontrate siano </w:t>
      </w:r>
      <w:r w:rsidRPr="00AA79BA" w:rsidR="00AA79BA">
        <w:rPr>
          <w:rFonts w:ascii="Calibri" w:hAnsi="Calibri" w:eastAsia="Garamond" w:cs="Calibri"/>
        </w:rPr>
        <w:t>tra le criticità generalizzate o derivino da infrazioni specifiche</w:t>
      </w:r>
      <w:r w:rsidR="00E01683">
        <w:rPr>
          <w:rFonts w:ascii="Calibri" w:hAnsi="Calibri" w:eastAsia="Garamond" w:cs="Calibri"/>
        </w:rPr>
        <w:t xml:space="preserve"> e se queste siano casuali o sistemiche</w:t>
      </w:r>
      <w:r w:rsidR="00C42CBC">
        <w:rPr>
          <w:rFonts w:ascii="Calibri" w:hAnsi="Calibri" w:eastAsia="Garamond" w:cs="Calibri"/>
        </w:rPr>
        <w:t xml:space="preserve">. </w:t>
      </w:r>
    </w:p>
    <w:p w:rsidRPr="00AA79BA" w:rsidR="00AA79BA" w:rsidP="00AA79BA" w:rsidRDefault="00C42CBC" w14:paraId="11EEB844" w14:textId="07CB0B23">
      <w:pPr>
        <w:spacing w:line="276" w:lineRule="auto"/>
        <w:jc w:val="both"/>
        <w:rPr>
          <w:rFonts w:ascii="Calibri" w:hAnsi="Calibri" w:eastAsia="Garamond" w:cs="Calibri"/>
        </w:rPr>
      </w:pPr>
      <w:r>
        <w:rPr>
          <w:rFonts w:ascii="Calibri" w:hAnsi="Calibri" w:eastAsia="Garamond" w:cs="Calibri"/>
        </w:rPr>
        <w:t xml:space="preserve">Gli errori casuali </w:t>
      </w:r>
      <w:r w:rsidRPr="00D66264" w:rsidR="00D66264">
        <w:rPr>
          <w:rFonts w:ascii="Calibri" w:hAnsi="Calibri" w:eastAsia="Garamond" w:cs="Calibri"/>
        </w:rPr>
        <w:t>si riferiscono a situazioni isolate e non ampiamente diffuse. Tuttavia, se tali errori si verificano con una frequenza elevata, potrebbe essere necessario approfondire le cause alla base di questi episodi</w:t>
      </w:r>
      <w:r w:rsidR="00B02806">
        <w:rPr>
          <w:rFonts w:ascii="Calibri" w:hAnsi="Calibri" w:eastAsia="Garamond" w:cs="Calibri"/>
        </w:rPr>
        <w:t xml:space="preserve">. Gli errori sistemici, invece, sono quelli che introducono </w:t>
      </w:r>
      <w:r w:rsidRPr="00AA79BA" w:rsidR="00AA79BA">
        <w:rPr>
          <w:rFonts w:ascii="Calibri" w:hAnsi="Calibri" w:eastAsia="Garamond" w:cs="Calibri"/>
        </w:rPr>
        <w:t>distorsioni sistematiche a causa di disfunzioni nei processi di gestione e controllo</w:t>
      </w:r>
      <w:r w:rsidR="00B02806">
        <w:rPr>
          <w:rFonts w:ascii="Calibri" w:hAnsi="Calibri" w:eastAsia="Garamond" w:cs="Calibri"/>
        </w:rPr>
        <w:t>.</w:t>
      </w:r>
      <w:r w:rsidRPr="00AA79BA" w:rsidR="00AA79BA">
        <w:rPr>
          <w:rFonts w:ascii="Calibri" w:hAnsi="Calibri" w:eastAsia="Garamond" w:cs="Calibri"/>
        </w:rPr>
        <w:t xml:space="preserve"> </w:t>
      </w:r>
    </w:p>
    <w:p w:rsidRPr="00CB3840" w:rsidR="00CB3840" w:rsidP="00CB3840" w:rsidRDefault="00AA79BA" w14:paraId="2A95C50D" w14:textId="799CE201">
      <w:pPr>
        <w:spacing w:line="276" w:lineRule="auto"/>
        <w:jc w:val="both"/>
        <w:rPr>
          <w:rFonts w:ascii="Calibri" w:hAnsi="Calibri" w:eastAsia="Garamond" w:cs="Calibri"/>
        </w:rPr>
      </w:pPr>
      <w:r w:rsidRPr="00AA79BA">
        <w:rPr>
          <w:rFonts w:ascii="Calibri" w:hAnsi="Calibri" w:eastAsia="Garamond" w:cs="Calibri"/>
        </w:rPr>
        <w:t xml:space="preserve">L’Autorità di Gestione analizza gli errori, valutando la loro sistematicità e adottando strategie utili per la loro risoluzione. </w:t>
      </w:r>
      <w:r w:rsidR="008354A0">
        <w:rPr>
          <w:rFonts w:ascii="Calibri" w:hAnsi="Calibri" w:eastAsia="Garamond" w:cs="Calibri"/>
        </w:rPr>
        <w:t xml:space="preserve">Durante lo svolgimento delle verifiche di gestione </w:t>
      </w:r>
      <w:r w:rsidR="00781894">
        <w:rPr>
          <w:rFonts w:ascii="Calibri" w:hAnsi="Calibri" w:eastAsia="Garamond" w:cs="Calibri"/>
        </w:rPr>
        <w:t>si possono registrare le varie irregolarità riscontrate nelle checkli</w:t>
      </w:r>
      <w:r w:rsidR="00876FBE">
        <w:rPr>
          <w:rFonts w:ascii="Calibri" w:hAnsi="Calibri" w:eastAsia="Garamond" w:cs="Calibri"/>
        </w:rPr>
        <w:t xml:space="preserve">st, l’AdG analizzando la documentazione elabora un quadro delle </w:t>
      </w:r>
      <w:r w:rsidR="001F7FF0">
        <w:rPr>
          <w:rFonts w:ascii="Calibri" w:hAnsi="Calibri" w:eastAsia="Garamond" w:cs="Calibri"/>
        </w:rPr>
        <w:t xml:space="preserve">tipologie di irregolarità riscontrate definendone anche la frequenza </w:t>
      </w:r>
      <w:r w:rsidR="0001139B">
        <w:rPr>
          <w:rFonts w:ascii="Calibri" w:hAnsi="Calibri" w:eastAsia="Garamond" w:cs="Calibri"/>
        </w:rPr>
        <w:t xml:space="preserve">e determina delle procedure idonee per approfondirle e per correggerle. </w:t>
      </w:r>
      <w:r w:rsidR="00136788">
        <w:rPr>
          <w:rFonts w:ascii="Calibri" w:hAnsi="Calibri" w:eastAsia="Garamond" w:cs="Calibri"/>
        </w:rPr>
        <w:t xml:space="preserve">Se l’Autorità di Gestione dovesse riscontrare errori sistemici si analizzano le cause </w:t>
      </w:r>
      <w:r w:rsidR="00012381">
        <w:rPr>
          <w:rFonts w:ascii="Calibri" w:hAnsi="Calibri" w:eastAsia="Garamond" w:cs="Calibri"/>
        </w:rPr>
        <w:t xml:space="preserve">per individuare le misure correttive da adottare. Per quanto riguarda l’errore sistemico </w:t>
      </w:r>
      <w:r w:rsidR="002165C9">
        <w:rPr>
          <w:rFonts w:ascii="Calibri" w:hAnsi="Calibri" w:eastAsia="Garamond" w:cs="Calibri"/>
        </w:rPr>
        <w:t xml:space="preserve">è necessario, da Regolamento, estendere l’analisi a tutte le operazioni potenzialmente interessate. </w:t>
      </w:r>
      <w:r w:rsidR="00CB3840">
        <w:rPr>
          <w:rFonts w:ascii="Calibri" w:hAnsi="Calibri" w:eastAsia="Garamond" w:cs="Calibri"/>
        </w:rPr>
        <w:t xml:space="preserve">L’Autorità di gestione una volta terminata l’analisi e rilevato l’errore sistemico </w:t>
      </w:r>
      <w:r w:rsidRPr="00CB3840" w:rsidR="00CB3840">
        <w:rPr>
          <w:rFonts w:ascii="Calibri" w:hAnsi="Calibri" w:eastAsia="Garamond" w:cs="Calibri"/>
        </w:rPr>
        <w:t>definisce le fasi necessarie per correggere la situazione, che possono comprendere:</w:t>
      </w:r>
    </w:p>
    <w:p w:rsidRPr="00CB3840" w:rsidR="00CB3840" w:rsidP="009C5076" w:rsidRDefault="00CB3840" w14:paraId="4EB5517F" w14:textId="77777777">
      <w:pPr>
        <w:numPr>
          <w:ilvl w:val="0"/>
          <w:numId w:val="41"/>
        </w:numPr>
        <w:tabs>
          <w:tab w:val="clear" w:pos="720"/>
          <w:tab w:val="num" w:pos="426"/>
        </w:tabs>
        <w:spacing w:line="276" w:lineRule="auto"/>
        <w:ind w:left="284"/>
        <w:jc w:val="both"/>
        <w:rPr>
          <w:rFonts w:ascii="Calibri" w:hAnsi="Calibri" w:eastAsia="Garamond" w:cs="Calibri"/>
        </w:rPr>
      </w:pPr>
      <w:r w:rsidRPr="00CB3840">
        <w:rPr>
          <w:rFonts w:ascii="Calibri" w:hAnsi="Calibri" w:eastAsia="Garamond" w:cs="Calibri"/>
        </w:rPr>
        <w:t>Identificazione degli elementi che hanno determinato l’irregolarità sistemica;</w:t>
      </w:r>
    </w:p>
    <w:p w:rsidRPr="00CB3840" w:rsidR="00CB3840" w:rsidP="009C5076" w:rsidRDefault="00CB3840" w14:paraId="1D0463CF" w14:textId="7CDD7C60">
      <w:pPr>
        <w:numPr>
          <w:ilvl w:val="0"/>
          <w:numId w:val="41"/>
        </w:numPr>
        <w:tabs>
          <w:tab w:val="clear" w:pos="720"/>
          <w:tab w:val="num" w:pos="426"/>
        </w:tabs>
        <w:spacing w:line="276" w:lineRule="auto"/>
        <w:ind w:left="284"/>
        <w:jc w:val="both"/>
        <w:rPr>
          <w:rFonts w:ascii="Calibri" w:hAnsi="Calibri" w:eastAsia="Garamond" w:cs="Calibri"/>
        </w:rPr>
      </w:pPr>
      <w:r w:rsidRPr="00CB3840">
        <w:rPr>
          <w:rFonts w:ascii="Calibri" w:hAnsi="Calibri" w:eastAsia="Garamond" w:cs="Calibri"/>
        </w:rPr>
        <w:t xml:space="preserve">Selezione aggiuntiva di controlli </w:t>
      </w:r>
    </w:p>
    <w:p w:rsidRPr="00CB3840" w:rsidR="00CB3840" w:rsidP="009C5076" w:rsidRDefault="00CB3840" w14:paraId="4C75BA8A" w14:textId="77777777">
      <w:pPr>
        <w:numPr>
          <w:ilvl w:val="0"/>
          <w:numId w:val="41"/>
        </w:numPr>
        <w:tabs>
          <w:tab w:val="clear" w:pos="720"/>
          <w:tab w:val="num" w:pos="426"/>
        </w:tabs>
        <w:spacing w:line="276" w:lineRule="auto"/>
        <w:ind w:left="284"/>
        <w:jc w:val="both"/>
        <w:rPr>
          <w:rFonts w:ascii="Calibri" w:hAnsi="Calibri" w:eastAsia="Garamond" w:cs="Calibri"/>
        </w:rPr>
      </w:pPr>
      <w:r w:rsidRPr="00CB3840">
        <w:rPr>
          <w:rFonts w:ascii="Calibri" w:hAnsi="Calibri" w:eastAsia="Garamond" w:cs="Calibri"/>
        </w:rPr>
        <w:t>Ottimizzazione dei sistemi di gestione e controllo;</w:t>
      </w:r>
    </w:p>
    <w:p w:rsidRPr="00CB3840" w:rsidR="00CB3840" w:rsidP="009C5076" w:rsidRDefault="00CB3840" w14:paraId="5B821EC4" w14:textId="3C37E63E">
      <w:pPr>
        <w:numPr>
          <w:ilvl w:val="0"/>
          <w:numId w:val="41"/>
        </w:numPr>
        <w:tabs>
          <w:tab w:val="clear" w:pos="720"/>
          <w:tab w:val="num" w:pos="426"/>
        </w:tabs>
        <w:spacing w:line="276" w:lineRule="auto"/>
        <w:ind w:left="284"/>
        <w:jc w:val="both"/>
        <w:rPr>
          <w:rFonts w:ascii="Calibri" w:hAnsi="Calibri" w:eastAsia="Garamond" w:cs="Calibri"/>
        </w:rPr>
      </w:pPr>
      <w:r w:rsidRPr="00CB3840">
        <w:rPr>
          <w:rFonts w:ascii="Calibri" w:hAnsi="Calibri" w:eastAsia="Garamond" w:cs="Calibri"/>
        </w:rPr>
        <w:t>Aggiornamento delle checklist di controllo;</w:t>
      </w:r>
    </w:p>
    <w:p w:rsidRPr="00CB3840" w:rsidR="00CB3840" w:rsidP="009C5076" w:rsidRDefault="00CB3840" w14:paraId="0B893F62" w14:textId="77777777">
      <w:pPr>
        <w:numPr>
          <w:ilvl w:val="0"/>
          <w:numId w:val="41"/>
        </w:numPr>
        <w:tabs>
          <w:tab w:val="clear" w:pos="720"/>
          <w:tab w:val="num" w:pos="426"/>
        </w:tabs>
        <w:spacing w:line="276" w:lineRule="auto"/>
        <w:ind w:left="284"/>
        <w:jc w:val="both"/>
        <w:rPr>
          <w:rFonts w:ascii="Calibri" w:hAnsi="Calibri" w:eastAsia="Garamond" w:cs="Calibri"/>
        </w:rPr>
      </w:pPr>
      <w:r w:rsidRPr="00CB3840">
        <w:rPr>
          <w:rFonts w:ascii="Calibri" w:hAnsi="Calibri" w:eastAsia="Garamond" w:cs="Calibri"/>
        </w:rPr>
        <w:t>Monitoraggio continuo per garantire il ripristino della funzionalità del sistema.</w:t>
      </w:r>
    </w:p>
    <w:p w:rsidR="00E25F39" w:rsidP="00C410A3" w:rsidRDefault="00CB3840" w14:paraId="6223A921" w14:textId="1B7B3CE8">
      <w:pPr>
        <w:spacing w:line="276" w:lineRule="auto"/>
        <w:jc w:val="both"/>
        <w:rPr>
          <w:rFonts w:ascii="Calibri" w:hAnsi="Calibri" w:eastAsia="Garamond" w:cs="Calibri"/>
        </w:rPr>
      </w:pPr>
      <w:r w:rsidRPr="00CB3840">
        <w:rPr>
          <w:rFonts w:ascii="Calibri" w:hAnsi="Calibri" w:eastAsia="Garamond" w:cs="Calibri"/>
        </w:rPr>
        <w:t>Queste azioni sono pensate per assicurare trasparenza e conformità alle normative</w:t>
      </w:r>
      <w:r w:rsidR="007B71D7">
        <w:rPr>
          <w:rFonts w:ascii="Calibri" w:hAnsi="Calibri" w:eastAsia="Garamond" w:cs="Calibri"/>
        </w:rPr>
        <w:t>.</w:t>
      </w:r>
    </w:p>
    <w:p w:rsidR="00E25F39" w:rsidRDefault="00E25F39" w14:paraId="61DC512B" w14:textId="77777777">
      <w:pPr>
        <w:spacing w:after="160" w:line="259" w:lineRule="auto"/>
        <w:rPr>
          <w:rFonts w:ascii="Calibri" w:hAnsi="Calibri" w:eastAsia="Garamond" w:cs="Calibri"/>
        </w:rPr>
      </w:pPr>
      <w:r>
        <w:rPr>
          <w:rFonts w:ascii="Calibri" w:hAnsi="Calibri" w:eastAsia="Garamond" w:cs="Calibri"/>
        </w:rPr>
        <w:br w:type="page"/>
      </w:r>
    </w:p>
    <w:p w:rsidR="00C410A3" w:rsidP="00C410A3" w:rsidRDefault="00C410A3" w14:paraId="0568AB2B" w14:textId="77777777">
      <w:pPr>
        <w:spacing w:line="276" w:lineRule="auto"/>
        <w:jc w:val="both"/>
        <w:rPr>
          <w:rFonts w:ascii="Calibri" w:hAnsi="Calibri" w:eastAsia="Garamond" w:cs="Calibri"/>
        </w:rPr>
      </w:pPr>
    </w:p>
    <w:p w:rsidRPr="00C410A3" w:rsidR="00153952" w:rsidP="52C5CEAB" w:rsidRDefault="00153952" w14:paraId="6733B8CD" w14:textId="2FE6CDA7">
      <w:pPr>
        <w:pStyle w:val="Heading1"/>
        <w:rPr>
          <w:rStyle w:val="IntenseReference"/>
          <w:rFonts w:ascii="Calibri" w:hAnsi="Calibri" w:eastAsia="Garamond" w:cs="Calibri"/>
          <w:b w:val="0"/>
          <w:bCs w:val="0"/>
          <w:smallCaps w:val="0"/>
          <w:color w:val="auto"/>
          <w:sz w:val="24"/>
          <w:szCs w:val="24"/>
        </w:rPr>
      </w:pPr>
      <w:bookmarkStart w:name="_Toc190354124" w:id="59"/>
      <w:r w:rsidRPr="52C5CEAB">
        <w:rPr>
          <w:rStyle w:val="IntenseReference"/>
          <w:rFonts w:ascii="Calibri" w:hAnsi="Calibri" w:cs="Calibri"/>
          <w:smallCaps w:val="0"/>
          <w:color w:val="0070C0"/>
          <w:spacing w:val="0"/>
          <w:sz w:val="32"/>
          <w:szCs w:val="32"/>
        </w:rPr>
        <w:t>Allegati</w:t>
      </w:r>
      <w:bookmarkEnd w:id="59"/>
    </w:p>
    <w:p w:rsidRPr="00C410A3" w:rsidR="00153952" w:rsidP="009C5076" w:rsidRDefault="52C5CEAB" w14:paraId="7C3FBEEF" w14:textId="116F473C">
      <w:pPr>
        <w:pStyle w:val="ListParagraph"/>
        <w:numPr>
          <w:ilvl w:val="0"/>
          <w:numId w:val="5"/>
        </w:numPr>
        <w:rPr>
          <w:rFonts w:ascii="Calibri" w:hAnsi="Calibri" w:eastAsia="Calibri" w:cs="Calibri"/>
        </w:rPr>
      </w:pPr>
      <w:r w:rsidRPr="52C5CEAB">
        <w:rPr>
          <w:rFonts w:ascii="Calibri" w:hAnsi="Calibri" w:eastAsia="Calibri" w:cs="Calibri"/>
        </w:rPr>
        <w:t>Allegato C1_Checklist_v1.1</w:t>
      </w:r>
    </w:p>
    <w:p w:rsidRPr="00C410A3" w:rsidR="00153952" w:rsidP="009C5076" w:rsidRDefault="52C5CEAB" w14:paraId="2864277C" w14:textId="0ADA2338">
      <w:pPr>
        <w:pStyle w:val="ListParagraph"/>
        <w:numPr>
          <w:ilvl w:val="0"/>
          <w:numId w:val="4"/>
        </w:numPr>
        <w:rPr>
          <w:rFonts w:ascii="Calibri" w:hAnsi="Calibri" w:eastAsia="Calibri" w:cs="Calibri"/>
        </w:rPr>
      </w:pPr>
      <w:r w:rsidRPr="52C5CEAB">
        <w:rPr>
          <w:rFonts w:ascii="Calibri" w:hAnsi="Calibri" w:eastAsia="Calibri" w:cs="Calibri"/>
        </w:rPr>
        <w:t>Checklist _</w:t>
      </w:r>
      <w:proofErr w:type="spellStart"/>
      <w:r w:rsidRPr="52C5CEAB">
        <w:rPr>
          <w:rFonts w:ascii="Calibri" w:hAnsi="Calibri" w:eastAsia="Calibri" w:cs="Calibri"/>
        </w:rPr>
        <w:t>Acq</w:t>
      </w:r>
      <w:proofErr w:type="spellEnd"/>
      <w:r w:rsidRPr="52C5CEAB">
        <w:rPr>
          <w:rFonts w:ascii="Calibri" w:hAnsi="Calibri" w:eastAsia="Calibri" w:cs="Calibri"/>
        </w:rPr>
        <w:t xml:space="preserve"> beni e servizi a </w:t>
      </w:r>
      <w:proofErr w:type="spellStart"/>
      <w:r w:rsidRPr="52C5CEAB">
        <w:rPr>
          <w:rFonts w:ascii="Calibri" w:hAnsi="Calibri" w:eastAsia="Calibri" w:cs="Calibri"/>
        </w:rPr>
        <w:t>titolarità_AT</w:t>
      </w:r>
      <w:proofErr w:type="spellEnd"/>
    </w:p>
    <w:p w:rsidRPr="00C410A3" w:rsidR="00153952" w:rsidP="009C5076" w:rsidRDefault="52C5CEAB" w14:paraId="261F75C8" w14:textId="26A82B7E">
      <w:pPr>
        <w:pStyle w:val="ListParagraph"/>
        <w:numPr>
          <w:ilvl w:val="0"/>
          <w:numId w:val="4"/>
        </w:numPr>
        <w:rPr>
          <w:rFonts w:ascii="Calibri" w:hAnsi="Calibri" w:eastAsia="Calibri" w:cs="Calibri"/>
        </w:rPr>
      </w:pPr>
      <w:r w:rsidRPr="52C5CEAB">
        <w:rPr>
          <w:rFonts w:ascii="Calibri" w:hAnsi="Calibri" w:eastAsia="Calibri" w:cs="Calibri"/>
        </w:rPr>
        <w:t xml:space="preserve">Checklist _Opere pubbliche a </w:t>
      </w:r>
      <w:proofErr w:type="spellStart"/>
      <w:r w:rsidRPr="52C5CEAB">
        <w:rPr>
          <w:rFonts w:ascii="Calibri" w:hAnsi="Calibri" w:eastAsia="Calibri" w:cs="Calibri"/>
        </w:rPr>
        <w:t>regia_Az</w:t>
      </w:r>
      <w:proofErr w:type="spellEnd"/>
      <w:r w:rsidRPr="52C5CEAB">
        <w:rPr>
          <w:rFonts w:ascii="Calibri" w:hAnsi="Calibri" w:eastAsia="Calibri" w:cs="Calibri"/>
        </w:rPr>
        <w:t xml:space="preserve"> 2.11 -2.4.1</w:t>
      </w:r>
    </w:p>
    <w:p w:rsidRPr="00C410A3" w:rsidR="00153952" w:rsidP="009C5076" w:rsidRDefault="52C5CEAB" w14:paraId="6710108E" w14:textId="32A58E57">
      <w:pPr>
        <w:pStyle w:val="ListParagraph"/>
        <w:numPr>
          <w:ilvl w:val="0"/>
          <w:numId w:val="4"/>
        </w:numPr>
        <w:rPr>
          <w:rFonts w:ascii="Calibri" w:hAnsi="Calibri" w:eastAsia="Calibri" w:cs="Calibri"/>
        </w:rPr>
      </w:pPr>
      <w:proofErr w:type="spellStart"/>
      <w:r w:rsidRPr="52C5CEAB">
        <w:rPr>
          <w:rFonts w:ascii="Calibri" w:hAnsi="Calibri" w:eastAsia="Calibri" w:cs="Calibri"/>
        </w:rPr>
        <w:t>Checklist_Acq</w:t>
      </w:r>
      <w:proofErr w:type="spellEnd"/>
      <w:r w:rsidRPr="52C5CEAB">
        <w:rPr>
          <w:rFonts w:ascii="Calibri" w:hAnsi="Calibri" w:eastAsia="Calibri" w:cs="Calibri"/>
        </w:rPr>
        <w:t xml:space="preserve"> beni e servizi a regia _AZ_1.2.1</w:t>
      </w:r>
    </w:p>
    <w:p w:rsidRPr="00C410A3" w:rsidR="00153952" w:rsidP="009C5076" w:rsidRDefault="52C5CEAB" w14:paraId="46700190" w14:textId="62FA3C37">
      <w:pPr>
        <w:pStyle w:val="ListParagraph"/>
        <w:numPr>
          <w:ilvl w:val="0"/>
          <w:numId w:val="4"/>
        </w:numPr>
        <w:rPr>
          <w:rFonts w:ascii="Calibri" w:hAnsi="Calibri" w:eastAsia="Calibri" w:cs="Calibri"/>
        </w:rPr>
      </w:pPr>
      <w:proofErr w:type="spellStart"/>
      <w:r w:rsidRPr="52C5CEAB">
        <w:rPr>
          <w:rFonts w:ascii="Calibri" w:hAnsi="Calibri" w:eastAsia="Calibri" w:cs="Calibri"/>
        </w:rPr>
        <w:t>Checklist_Operazioni</w:t>
      </w:r>
      <w:proofErr w:type="spellEnd"/>
      <w:r w:rsidRPr="52C5CEAB">
        <w:rPr>
          <w:rFonts w:ascii="Calibri" w:hAnsi="Calibri" w:eastAsia="Calibri" w:cs="Calibri"/>
        </w:rPr>
        <w:t xml:space="preserve"> scaglionate a </w:t>
      </w:r>
      <w:proofErr w:type="spellStart"/>
      <w:r w:rsidRPr="52C5CEAB">
        <w:rPr>
          <w:rFonts w:ascii="Calibri" w:hAnsi="Calibri" w:eastAsia="Calibri" w:cs="Calibri"/>
        </w:rPr>
        <w:t>regia_Az</w:t>
      </w:r>
      <w:proofErr w:type="spellEnd"/>
      <w:r w:rsidRPr="52C5CEAB">
        <w:rPr>
          <w:rFonts w:ascii="Calibri" w:hAnsi="Calibri" w:eastAsia="Calibri" w:cs="Calibri"/>
        </w:rPr>
        <w:t xml:space="preserve"> 4.6.1</w:t>
      </w:r>
    </w:p>
    <w:p w:rsidRPr="00C410A3" w:rsidR="00153952" w:rsidP="009C5076" w:rsidRDefault="52C5CEAB" w14:paraId="74CD9486" w14:textId="18A870F8">
      <w:pPr>
        <w:pStyle w:val="ListParagraph"/>
        <w:numPr>
          <w:ilvl w:val="0"/>
          <w:numId w:val="4"/>
        </w:numPr>
        <w:rPr>
          <w:rFonts w:ascii="Calibri" w:hAnsi="Calibri" w:eastAsia="Calibri" w:cs="Calibri"/>
        </w:rPr>
      </w:pPr>
      <w:proofErr w:type="spellStart"/>
      <w:r w:rsidRPr="52C5CEAB">
        <w:rPr>
          <w:rFonts w:ascii="Calibri" w:hAnsi="Calibri" w:eastAsia="Calibri" w:cs="Calibri"/>
        </w:rPr>
        <w:t>Checklist_Personale</w:t>
      </w:r>
      <w:proofErr w:type="spellEnd"/>
      <w:r w:rsidRPr="52C5CEAB">
        <w:rPr>
          <w:rFonts w:ascii="Calibri" w:hAnsi="Calibri" w:eastAsia="Calibri" w:cs="Calibri"/>
        </w:rPr>
        <w:t xml:space="preserve"> a </w:t>
      </w:r>
      <w:proofErr w:type="spellStart"/>
      <w:r w:rsidRPr="52C5CEAB">
        <w:rPr>
          <w:rFonts w:ascii="Calibri" w:hAnsi="Calibri" w:eastAsia="Calibri" w:cs="Calibri"/>
        </w:rPr>
        <w:t>titolarità_AT</w:t>
      </w:r>
      <w:proofErr w:type="spellEnd"/>
    </w:p>
    <w:p w:rsidR="52C5CEAB" w:rsidP="52C5CEAB" w:rsidRDefault="52C5CEAB" w14:paraId="7A24FBB1" w14:textId="0013C246">
      <w:pPr>
        <w:pStyle w:val="ListParagraph"/>
        <w:ind w:left="1068"/>
      </w:pPr>
    </w:p>
    <w:p w:rsidRPr="00C410A3" w:rsidR="002E6CCA" w:rsidP="07B36634" w:rsidRDefault="002E6CCA" w14:paraId="624A7D4C" w14:textId="6BDC444B">
      <w:pPr>
        <w:pStyle w:val="ListParagraph"/>
        <w:ind w:left="360"/>
        <w:rPr>
          <w:rFonts w:ascii="Calibri" w:hAnsi="Calibri" w:cs="Calibri"/>
        </w:rPr>
      </w:pPr>
    </w:p>
    <w:sectPr w:rsidRPr="00C410A3" w:rsidR="002E6CCA" w:rsidSect="00942B4D">
      <w:footerReference w:type="default" r:id="rId22"/>
      <w:footerReference w:type="first" r:id="rId23"/>
      <w:type w:val="continuous"/>
      <w:pgSz w:w="11906" w:h="16838" w:orient="portrait"/>
      <w:pgMar w:top="1417" w:right="1134" w:bottom="1134" w:left="1134" w:header="794" w:footer="7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E35125" w:rsidP="000238DD" w:rsidRDefault="00E35125" w14:paraId="3BAB0FFF" w14:textId="77777777">
      <w:r>
        <w:separator/>
      </w:r>
    </w:p>
  </w:endnote>
  <w:endnote w:type="continuationSeparator" w:id="0">
    <w:p w:rsidR="00E35125" w:rsidP="000238DD" w:rsidRDefault="00E35125" w14:paraId="65C9ACDA" w14:textId="77777777">
      <w:r>
        <w:continuationSeparator/>
      </w:r>
    </w:p>
  </w:endnote>
  <w:endnote w:type="continuationNotice" w:id="1">
    <w:p w:rsidR="00E35125" w:rsidRDefault="00E35125" w14:paraId="62D42378"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ptos">
    <w:altName w:val="Calibri"/>
    <w:panose1 w:val="00000000000000000000"/>
    <w:charset w:val="00"/>
    <w:family w:val="roman"/>
    <w:notTrueType/>
    <w:pitch w:val="default"/>
  </w:font>
  <w:font w:name="Aptos Display">
    <w:altName w:val="Calibri"/>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Garamond">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sdtfl w16du wp14">
  <w:p w:rsidR="00D55E00" w:rsidP="00DE3FBD" w:rsidRDefault="00B54A14" w14:paraId="345CB26B" w14:textId="47817962">
    <w:pPr>
      <w:pStyle w:val="Footer"/>
      <w:jc w:val="center"/>
    </w:pPr>
    <w:r w:rsidRPr="00B54A14">
      <w:rPr>
        <w:rFonts w:ascii="Arial" w:hAnsi="Arial" w:cs="Arial" w:eastAsiaTheme="minorHAnsi"/>
        <w:noProof/>
        <w:color w:val="002060"/>
        <w:kern w:val="2"/>
        <w:sz w:val="18"/>
        <w:szCs w:val="18"/>
      </w:rPr>
      <mc:AlternateContent>
        <mc:Choice Requires="wps">
          <w:drawing>
            <wp:anchor distT="0" distB="0" distL="114300" distR="114300" simplePos="0" relativeHeight="251658240" behindDoc="0" locked="0" layoutInCell="1" allowOverlap="1" wp14:anchorId="47E442AD" wp14:editId="54D6318D">
              <wp:simplePos x="0" y="0"/>
              <wp:positionH relativeFrom="column">
                <wp:posOffset>5699760</wp:posOffset>
              </wp:positionH>
              <wp:positionV relativeFrom="paragraph">
                <wp:posOffset>106680</wp:posOffset>
              </wp:positionV>
              <wp:extent cx="883920" cy="320040"/>
              <wp:effectExtent l="0" t="0" r="0" b="3810"/>
              <wp:wrapThrough wrapText="bothSides">
                <wp:wrapPolygon edited="0">
                  <wp:start x="1397" y="0"/>
                  <wp:lineTo x="1397" y="20571"/>
                  <wp:lineTo x="20017" y="20571"/>
                  <wp:lineTo x="20017" y="0"/>
                  <wp:lineTo x="1397" y="0"/>
                </wp:wrapPolygon>
              </wp:wrapThrough>
              <wp:docPr id="7" name="Casella di testo 7"/>
              <wp:cNvGraphicFramePr/>
              <a:graphic xmlns:a="http://schemas.openxmlformats.org/drawingml/2006/main">
                <a:graphicData uri="http://schemas.microsoft.com/office/word/2010/wordprocessingShape">
                  <wps:wsp>
                    <wps:cNvSpPr txBox="1"/>
                    <wps:spPr>
                      <a:xfrm>
                        <a:off x="0" y="0"/>
                        <a:ext cx="883920" cy="320040"/>
                      </a:xfrm>
                      <a:prstGeom prst="rect">
                        <a:avLst/>
                      </a:prstGeom>
                      <a:noFill/>
                      <a:ln w="6350">
                        <a:noFill/>
                      </a:ln>
                    </wps:spPr>
                    <wps:txbx>
                      <w:txbxContent>
                        <w:p w:rsidRPr="000547AA" w:rsidR="001F675B" w:rsidP="001F675B" w:rsidRDefault="001F675B" w14:paraId="118A017C" w14:textId="55094B3F">
                          <w:pPr>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196CA7">
                            <w:rPr>
                              <w:rFonts w:cstheme="minorHAnsi"/>
                              <w:i/>
                              <w:iCs/>
                              <w:noProof/>
                              <w:color w:val="2D489D"/>
                              <w:sz w:val="16"/>
                              <w:szCs w:val="16"/>
                            </w:rPr>
                            <w:t>2</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196CA7">
                            <w:rPr>
                              <w:rFonts w:cstheme="minorHAnsi"/>
                              <w:i/>
                              <w:iCs/>
                              <w:noProof/>
                              <w:color w:val="2D489D"/>
                              <w:sz w:val="16"/>
                              <w:szCs w:val="16"/>
                            </w:rPr>
                            <w:t>47</w:t>
                          </w:r>
                          <w:r w:rsidRPr="000547AA">
                            <w:rPr>
                              <w:rFonts w:cstheme="minorHAnsi"/>
                              <w:i/>
                              <w:iCs/>
                              <w:color w:val="2D489D"/>
                              <w:sz w:val="16"/>
                              <w:szCs w:val="1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w14:anchorId="47E442AD">
              <v:stroke joinstyle="miter"/>
              <v:path gradientshapeok="t" o:connecttype="rect"/>
            </v:shapetype>
            <v:shape id="Casella di testo 7" style="position:absolute;left:0;text-align:left;margin-left:448.8pt;margin-top:8.4pt;width:69.6pt;height:25.2pt;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">
              <v:textbox>
                <w:txbxContent>
                  <w:p w:rsidRPr="000547AA" w:rsidR="001F675B" w:rsidP="001F675B" w:rsidRDefault="001F675B" w14:paraId="118A017C" w14:textId="55094B3F">
                    <w:pPr>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196CA7">
                      <w:rPr>
                        <w:rFonts w:cstheme="minorHAnsi"/>
                        <w:i/>
                        <w:iCs/>
                        <w:noProof/>
                        <w:color w:val="2D489D"/>
                        <w:sz w:val="16"/>
                        <w:szCs w:val="16"/>
                      </w:rPr>
                      <w:t>2</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196CA7">
                      <w:rPr>
                        <w:rFonts w:cstheme="minorHAnsi"/>
                        <w:i/>
                        <w:iCs/>
                        <w:noProof/>
                        <w:color w:val="2D489D"/>
                        <w:sz w:val="16"/>
                        <w:szCs w:val="16"/>
                      </w:rPr>
                      <w:t>47</w:t>
                    </w:r>
                    <w:r w:rsidRPr="000547AA">
                      <w:rPr>
                        <w:rFonts w:cstheme="minorHAnsi"/>
                        <w:i/>
                        <w:iCs/>
                        <w:color w:val="2D489D"/>
                        <w:sz w:val="16"/>
                        <w:szCs w:val="16"/>
                      </w:rPr>
                      <w:fldChar w:fldCharType="end"/>
                    </w:r>
                  </w:p>
                </w:txbxContent>
              </v:textbox>
              <w10:wrap type="through"/>
            </v:shape>
          </w:pict>
        </mc:Fallback>
      </mc:AlternateContent>
    </w:r>
  </w:p>
  <w:p w:rsidRPr="00B54A14" w:rsidR="00D55E00" w:rsidP="00B54A14" w:rsidRDefault="00B54A14" w14:paraId="323BFC10" w14:textId="2B06071F">
    <w:pPr>
      <w:pStyle w:val="Footer"/>
      <w:jc w:val="center"/>
      <w:rPr>
        <w:rFonts w:ascii="Arial" w:hAnsi="Arial" w:cs="Arial" w:eastAsiaTheme="minorHAnsi"/>
        <w:color w:val="002060"/>
        <w:kern w:val="2"/>
        <w:sz w:val="18"/>
        <w:szCs w:val="18"/>
        <w:lang w:eastAsia="en-US"/>
      </w:rPr>
    </w:pPr>
    <w:r w:rsidRPr="00B54A14">
      <w:rPr>
        <w:rFonts w:ascii="Arial" w:hAnsi="Arial" w:cs="Arial" w:eastAsiaTheme="minorHAnsi"/>
        <w:color w:val="002060"/>
        <w:kern w:val="2"/>
        <w:sz w:val="18"/>
        <w:szCs w:val="18"/>
        <w:lang w:eastAsia="en-US"/>
      </w:rPr>
      <w:t>Manuale delle Verifiche di Gestione</w:t>
    </w:r>
    <w:r>
      <w:rPr>
        <w:rFonts w:ascii="Arial" w:hAnsi="Arial" w:cs="Arial" w:eastAsiaTheme="minorHAnsi"/>
        <w:color w:val="002060"/>
        <w:kern w:val="2"/>
        <w:sz w:val="18"/>
        <w:szCs w:val="18"/>
        <w:lang w:eastAsia="en-US"/>
      </w:rPr>
      <w:t xml:space="preserve"> dell’Autorità di Gestione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D55E00" w:rsidTr="00253B71" w14:paraId="3DFEF86D" w14:textId="77777777">
      <w:trPr>
        <w:trHeight w:val="300"/>
      </w:trPr>
      <w:tc>
        <w:tcPr>
          <w:tcW w:w="3210" w:type="dxa"/>
        </w:tcPr>
        <w:p w:rsidR="00D55E00" w:rsidP="00253B71" w:rsidRDefault="00D55E00" w14:paraId="12BE5FD2" w14:textId="0EFDEDE8">
          <w:pPr>
            <w:pStyle w:val="Header"/>
            <w:ind w:left="-115"/>
          </w:pPr>
        </w:p>
      </w:tc>
      <w:tc>
        <w:tcPr>
          <w:tcW w:w="3210" w:type="dxa"/>
        </w:tcPr>
        <w:p w:rsidR="00D55E00" w:rsidP="00253B71" w:rsidRDefault="00D55E00" w14:paraId="019F9725" w14:textId="32FB3E95">
          <w:pPr>
            <w:pStyle w:val="Header"/>
            <w:jc w:val="center"/>
          </w:pPr>
        </w:p>
      </w:tc>
      <w:tc>
        <w:tcPr>
          <w:tcW w:w="3210" w:type="dxa"/>
        </w:tcPr>
        <w:p w:rsidR="00D55E00" w:rsidP="00253B71" w:rsidRDefault="00D55E00" w14:paraId="73A2039F" w14:textId="48CFB5A2">
          <w:pPr>
            <w:pStyle w:val="Header"/>
            <w:ind w:right="-115"/>
            <w:jc w:val="right"/>
          </w:pPr>
        </w:p>
      </w:tc>
    </w:tr>
  </w:tbl>
  <w:p w:rsidR="00196CA7" w:rsidP="00196CA7" w:rsidRDefault="00196CA7" w14:paraId="0A9A9F77" w14:textId="2E281724">
    <w:pPr>
      <w:pStyle w:val="Footer"/>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sdtfl w16du wp14">
  <w:p w:rsidR="00196CA7" w:rsidP="00DE3FBD" w:rsidRDefault="00196CA7" w14:paraId="4718ED4D" w14:textId="77777777">
    <w:pPr>
      <w:pStyle w:val="Footer"/>
      <w:jc w:val="center"/>
    </w:pPr>
    <w:r w:rsidRPr="00B54A14">
      <w:rPr>
        <w:rFonts w:ascii="Arial" w:hAnsi="Arial" w:cs="Arial" w:eastAsiaTheme="minorHAnsi"/>
        <w:noProof/>
        <w:color w:val="002060"/>
        <w:kern w:val="2"/>
        <w:sz w:val="18"/>
        <w:szCs w:val="18"/>
      </w:rPr>
      <mc:AlternateContent>
        <mc:Choice Requires="wps">
          <w:drawing>
            <wp:anchor distT="0" distB="0" distL="114300" distR="114300" simplePos="0" relativeHeight="251658242" behindDoc="0" locked="0" layoutInCell="1" allowOverlap="1" wp14:anchorId="20786FE4" wp14:editId="47692EC2">
              <wp:simplePos x="0" y="0"/>
              <wp:positionH relativeFrom="column">
                <wp:posOffset>5699760</wp:posOffset>
              </wp:positionH>
              <wp:positionV relativeFrom="paragraph">
                <wp:posOffset>106680</wp:posOffset>
              </wp:positionV>
              <wp:extent cx="883920" cy="320040"/>
              <wp:effectExtent l="0" t="0" r="0" b="3810"/>
              <wp:wrapThrough wrapText="bothSides">
                <wp:wrapPolygon edited="0">
                  <wp:start x="1397" y="0"/>
                  <wp:lineTo x="1397" y="20571"/>
                  <wp:lineTo x="20017" y="20571"/>
                  <wp:lineTo x="20017" y="0"/>
                  <wp:lineTo x="1397" y="0"/>
                </wp:wrapPolygon>
              </wp:wrapThrough>
              <wp:docPr id="6" name="Casella di testo 6"/>
              <wp:cNvGraphicFramePr/>
              <a:graphic xmlns:a="http://schemas.openxmlformats.org/drawingml/2006/main">
                <a:graphicData uri="http://schemas.microsoft.com/office/word/2010/wordprocessingShape">
                  <wps:wsp>
                    <wps:cNvSpPr txBox="1"/>
                    <wps:spPr>
                      <a:xfrm>
                        <a:off x="0" y="0"/>
                        <a:ext cx="883920" cy="320040"/>
                      </a:xfrm>
                      <a:prstGeom prst="rect">
                        <a:avLst/>
                      </a:prstGeom>
                      <a:noFill/>
                      <a:ln w="6350">
                        <a:noFill/>
                      </a:ln>
                    </wps:spPr>
                    <wps:txbx>
                      <w:txbxContent>
                        <w:p w:rsidRPr="000547AA" w:rsidR="00196CA7" w:rsidP="001F675B" w:rsidRDefault="00196CA7" w14:paraId="08C704A3" w14:textId="575BF197">
                          <w:pPr>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Pr>
                              <w:rFonts w:cstheme="minorHAnsi"/>
                              <w:i/>
                              <w:iCs/>
                              <w:noProof/>
                              <w:color w:val="2D489D"/>
                              <w:sz w:val="16"/>
                              <w:szCs w:val="16"/>
                            </w:rPr>
                            <w:t>3</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Pr>
                              <w:rFonts w:cstheme="minorHAnsi"/>
                              <w:i/>
                              <w:iCs/>
                              <w:noProof/>
                              <w:color w:val="2D489D"/>
                              <w:sz w:val="16"/>
                              <w:szCs w:val="16"/>
                            </w:rPr>
                            <w:t>47</w:t>
                          </w:r>
                          <w:r w:rsidRPr="000547AA">
                            <w:rPr>
                              <w:rFonts w:cstheme="minorHAnsi"/>
                              <w:i/>
                              <w:iCs/>
                              <w:color w:val="2D489D"/>
                              <w:sz w:val="16"/>
                              <w:szCs w:val="1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w14:anchorId="20786FE4">
              <v:stroke joinstyle="miter"/>
              <v:path gradientshapeok="t" o:connecttype="rect"/>
            </v:shapetype>
            <v:shape id="Casella di testo 6" style="position:absolute;left:0;text-align:left;margin-left:448.8pt;margin-top:8.4pt;width:69.6pt;height:25.2pt;z-index:25165824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spid="_x0000_s102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">
              <v:textbox>
                <w:txbxContent>
                  <w:p w:rsidRPr="000547AA" w:rsidR="00196CA7" w:rsidP="001F675B" w:rsidRDefault="00196CA7" w14:paraId="08C704A3" w14:textId="575BF197">
                    <w:pPr>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Pr>
                        <w:rFonts w:cstheme="minorHAnsi"/>
                        <w:i/>
                        <w:iCs/>
                        <w:noProof/>
                        <w:color w:val="2D489D"/>
                        <w:sz w:val="16"/>
                        <w:szCs w:val="16"/>
                      </w:rPr>
                      <w:t>3</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Pr>
                        <w:rFonts w:cstheme="minorHAnsi"/>
                        <w:i/>
                        <w:iCs/>
                        <w:noProof/>
                        <w:color w:val="2D489D"/>
                        <w:sz w:val="16"/>
                        <w:szCs w:val="16"/>
                      </w:rPr>
                      <w:t>47</w:t>
                    </w:r>
                    <w:r w:rsidRPr="000547AA">
                      <w:rPr>
                        <w:rFonts w:cstheme="minorHAnsi"/>
                        <w:i/>
                        <w:iCs/>
                        <w:color w:val="2D489D"/>
                        <w:sz w:val="16"/>
                        <w:szCs w:val="16"/>
                      </w:rPr>
                      <w:fldChar w:fldCharType="end"/>
                    </w:r>
                  </w:p>
                </w:txbxContent>
              </v:textbox>
              <w10:wrap type="through"/>
            </v:shape>
          </w:pict>
        </mc:Fallback>
      </mc:AlternateContent>
    </w:r>
  </w:p>
  <w:p w:rsidRPr="00B54A14" w:rsidR="00196CA7" w:rsidP="00B54A14" w:rsidRDefault="00196CA7" w14:paraId="22548B80" w14:textId="77777777">
    <w:pPr>
      <w:pStyle w:val="Footer"/>
      <w:jc w:val="center"/>
      <w:rPr>
        <w:rFonts w:ascii="Arial" w:hAnsi="Arial" w:cs="Arial" w:eastAsiaTheme="minorHAnsi"/>
        <w:color w:val="002060"/>
        <w:kern w:val="2"/>
        <w:sz w:val="18"/>
        <w:szCs w:val="18"/>
        <w:lang w:eastAsia="en-US"/>
      </w:rPr>
    </w:pPr>
    <w:r w:rsidRPr="00B54A14">
      <w:rPr>
        <w:rFonts w:ascii="Arial" w:hAnsi="Arial" w:cs="Arial" w:eastAsiaTheme="minorHAnsi"/>
        <w:color w:val="002060"/>
        <w:kern w:val="2"/>
        <w:sz w:val="18"/>
        <w:szCs w:val="18"/>
        <w:lang w:eastAsia="en-US"/>
      </w:rPr>
      <w:t>Manuale delle Verifiche di Gestione</w:t>
    </w:r>
    <w:r>
      <w:rPr>
        <w:rFonts w:ascii="Arial" w:hAnsi="Arial" w:cs="Arial" w:eastAsiaTheme="minorHAnsi"/>
        <w:color w:val="002060"/>
        <w:kern w:val="2"/>
        <w:sz w:val="18"/>
        <w:szCs w:val="18"/>
        <w:lang w:eastAsia="en-US"/>
      </w:rPr>
      <w:t xml:space="preserve"> dell’Autorità di Gestione</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sdtfl w16du wp14">
  <w:p w:rsidR="00196CA7" w:rsidP="00DE3FBD" w:rsidRDefault="00196CA7" w14:paraId="636E1399" w14:textId="77777777">
    <w:pPr>
      <w:pStyle w:val="Footer"/>
      <w:jc w:val="center"/>
    </w:pPr>
    <w:r w:rsidRPr="00B54A14">
      <w:rPr>
        <w:rFonts w:ascii="Arial" w:hAnsi="Arial" w:cs="Arial" w:eastAsiaTheme="minorHAnsi"/>
        <w:noProof/>
        <w:color w:val="002060"/>
        <w:kern w:val="2"/>
        <w:sz w:val="18"/>
        <w:szCs w:val="18"/>
      </w:rPr>
      <mc:AlternateContent>
        <mc:Choice Requires="wps">
          <w:drawing>
            <wp:anchor distT="0" distB="0" distL="114300" distR="114300" simplePos="0" relativeHeight="251658241" behindDoc="0" locked="0" layoutInCell="1" allowOverlap="1" wp14:anchorId="4AC0C3E5" wp14:editId="60280999">
              <wp:simplePos x="0" y="0"/>
              <wp:positionH relativeFrom="column">
                <wp:posOffset>5699760</wp:posOffset>
              </wp:positionH>
              <wp:positionV relativeFrom="paragraph">
                <wp:posOffset>106680</wp:posOffset>
              </wp:positionV>
              <wp:extent cx="883920" cy="320040"/>
              <wp:effectExtent l="0" t="0" r="0" b="3810"/>
              <wp:wrapThrough wrapText="bothSides">
                <wp:wrapPolygon edited="0">
                  <wp:start x="1397" y="0"/>
                  <wp:lineTo x="1397" y="20571"/>
                  <wp:lineTo x="20017" y="20571"/>
                  <wp:lineTo x="20017" y="0"/>
                  <wp:lineTo x="1397" y="0"/>
                </wp:wrapPolygon>
              </wp:wrapThrough>
              <wp:docPr id="4" name="Casella di testo 4"/>
              <wp:cNvGraphicFramePr/>
              <a:graphic xmlns:a="http://schemas.openxmlformats.org/drawingml/2006/main">
                <a:graphicData uri="http://schemas.microsoft.com/office/word/2010/wordprocessingShape">
                  <wps:wsp>
                    <wps:cNvSpPr txBox="1"/>
                    <wps:spPr>
                      <a:xfrm>
                        <a:off x="0" y="0"/>
                        <a:ext cx="883920" cy="320040"/>
                      </a:xfrm>
                      <a:prstGeom prst="rect">
                        <a:avLst/>
                      </a:prstGeom>
                      <a:noFill/>
                      <a:ln w="6350">
                        <a:noFill/>
                      </a:ln>
                    </wps:spPr>
                    <wps:txbx>
                      <w:txbxContent>
                        <w:p w:rsidRPr="000547AA" w:rsidR="00196CA7" w:rsidP="001F675B" w:rsidRDefault="00196CA7" w14:paraId="38FE1AEC" w14:textId="1DAA34E3">
                          <w:pPr>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AE1996">
                            <w:rPr>
                              <w:rFonts w:cstheme="minorHAnsi"/>
                              <w:i/>
                              <w:iCs/>
                              <w:noProof/>
                              <w:color w:val="2D489D"/>
                              <w:sz w:val="16"/>
                              <w:szCs w:val="16"/>
                            </w:rPr>
                            <w:t>4</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AE1996">
                            <w:rPr>
                              <w:rFonts w:cstheme="minorHAnsi"/>
                              <w:i/>
                              <w:iCs/>
                              <w:noProof/>
                              <w:color w:val="2D489D"/>
                              <w:sz w:val="16"/>
                              <w:szCs w:val="16"/>
                            </w:rPr>
                            <w:t>47</w:t>
                          </w:r>
                          <w:r w:rsidRPr="000547AA">
                            <w:rPr>
                              <w:rFonts w:cstheme="minorHAnsi"/>
                              <w:i/>
                              <w:iCs/>
                              <w:color w:val="2D489D"/>
                              <w:sz w:val="16"/>
                              <w:szCs w:val="1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w14:anchorId="4AC0C3E5">
              <v:stroke joinstyle="miter"/>
              <v:path gradientshapeok="t" o:connecttype="rect"/>
            </v:shapetype>
            <v:shape id="Casella di testo 4" style="position:absolute;left:0;text-align:left;margin-left:448.8pt;margin-top:8.4pt;width:69.6pt;height:25.2pt;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spid="_x0000_s103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">
              <v:textbox>
                <w:txbxContent>
                  <w:p w:rsidRPr="000547AA" w:rsidR="00196CA7" w:rsidP="001F675B" w:rsidRDefault="00196CA7" w14:paraId="38FE1AEC" w14:textId="1DAA34E3">
                    <w:pPr>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AE1996">
                      <w:rPr>
                        <w:rFonts w:cstheme="minorHAnsi"/>
                        <w:i/>
                        <w:iCs/>
                        <w:noProof/>
                        <w:color w:val="2D489D"/>
                        <w:sz w:val="16"/>
                        <w:szCs w:val="16"/>
                      </w:rPr>
                      <w:t>4</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AE1996">
                      <w:rPr>
                        <w:rFonts w:cstheme="minorHAnsi"/>
                        <w:i/>
                        <w:iCs/>
                        <w:noProof/>
                        <w:color w:val="2D489D"/>
                        <w:sz w:val="16"/>
                        <w:szCs w:val="16"/>
                      </w:rPr>
                      <w:t>47</w:t>
                    </w:r>
                    <w:r w:rsidRPr="000547AA">
                      <w:rPr>
                        <w:rFonts w:cstheme="minorHAnsi"/>
                        <w:i/>
                        <w:iCs/>
                        <w:color w:val="2D489D"/>
                        <w:sz w:val="16"/>
                        <w:szCs w:val="16"/>
                      </w:rPr>
                      <w:fldChar w:fldCharType="end"/>
                    </w:r>
                  </w:p>
                </w:txbxContent>
              </v:textbox>
              <w10:wrap type="through"/>
            </v:shape>
          </w:pict>
        </mc:Fallback>
      </mc:AlternateContent>
    </w:r>
  </w:p>
  <w:p w:rsidRPr="00B54A14" w:rsidR="00196CA7" w:rsidP="00B54A14" w:rsidRDefault="00196CA7" w14:paraId="10F2B970" w14:textId="77777777">
    <w:pPr>
      <w:pStyle w:val="Footer"/>
      <w:jc w:val="center"/>
      <w:rPr>
        <w:rFonts w:ascii="Arial" w:hAnsi="Arial" w:cs="Arial" w:eastAsiaTheme="minorHAnsi"/>
        <w:color w:val="002060"/>
        <w:kern w:val="2"/>
        <w:sz w:val="18"/>
        <w:szCs w:val="18"/>
        <w:lang w:eastAsia="en-US"/>
      </w:rPr>
    </w:pPr>
    <w:r w:rsidRPr="00B54A14">
      <w:rPr>
        <w:rFonts w:ascii="Arial" w:hAnsi="Arial" w:cs="Arial" w:eastAsiaTheme="minorHAnsi"/>
        <w:color w:val="002060"/>
        <w:kern w:val="2"/>
        <w:sz w:val="18"/>
        <w:szCs w:val="18"/>
        <w:lang w:eastAsia="en-US"/>
      </w:rPr>
      <w:t>Manuale delle Verifiche di Gestione</w:t>
    </w:r>
    <w:r>
      <w:rPr>
        <w:rFonts w:ascii="Arial" w:hAnsi="Arial" w:cs="Arial" w:eastAsiaTheme="minorHAnsi"/>
        <w:color w:val="002060"/>
        <w:kern w:val="2"/>
        <w:sz w:val="18"/>
        <w:szCs w:val="18"/>
        <w:lang w:eastAsia="en-US"/>
      </w:rPr>
      <w:t xml:space="preserve"> dell’Autorità di Gestione</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96CA7" w:rsidTr="00253B71" w14:paraId="7B7788F7" w14:textId="77777777">
      <w:trPr>
        <w:trHeight w:val="300"/>
      </w:trPr>
      <w:tc>
        <w:tcPr>
          <w:tcW w:w="3210" w:type="dxa"/>
        </w:tcPr>
        <w:p w:rsidR="00196CA7" w:rsidP="00253B71" w:rsidRDefault="00196CA7" w14:paraId="474D165D" w14:textId="77777777">
          <w:pPr>
            <w:pStyle w:val="Header"/>
            <w:ind w:left="-115"/>
          </w:pPr>
        </w:p>
      </w:tc>
      <w:tc>
        <w:tcPr>
          <w:tcW w:w="3210" w:type="dxa"/>
        </w:tcPr>
        <w:p w:rsidR="00196CA7" w:rsidP="00253B71" w:rsidRDefault="00196CA7" w14:paraId="735FCEE4" w14:textId="77777777">
          <w:pPr>
            <w:pStyle w:val="Header"/>
            <w:jc w:val="center"/>
          </w:pPr>
        </w:p>
      </w:tc>
      <w:tc>
        <w:tcPr>
          <w:tcW w:w="3210" w:type="dxa"/>
        </w:tcPr>
        <w:p w:rsidR="00196CA7" w:rsidP="00253B71" w:rsidRDefault="00196CA7" w14:paraId="3D90EA41" w14:textId="77777777">
          <w:pPr>
            <w:pStyle w:val="Header"/>
            <w:ind w:right="-115"/>
            <w:jc w:val="right"/>
          </w:pPr>
        </w:p>
      </w:tc>
    </w:tr>
  </w:tbl>
  <w:p w:rsidR="00196CA7" w:rsidP="00196CA7" w:rsidRDefault="00196CA7" w14:paraId="06A36D07" w14:textId="77777777">
    <w:pPr>
      <w:pStyle w:val="Footer"/>
      <w:jc w:val="center"/>
    </w:pPr>
    <w:r w:rsidRPr="00B54A14">
      <w:rPr>
        <w:rFonts w:ascii="Arial" w:hAnsi="Arial" w:cs="Arial" w:eastAsiaTheme="minorHAnsi"/>
        <w:noProof/>
        <w:color w:val="002060"/>
        <w:kern w:val="2"/>
        <w:sz w:val="18"/>
        <w:szCs w:val="18"/>
      </w:rPr>
      <mc:AlternateContent>
        <mc:Choice Requires="wps">
          <w:drawing>
            <wp:anchor distT="0" distB="0" distL="114300" distR="114300" simplePos="0" relativeHeight="251658243" behindDoc="0" locked="0" layoutInCell="1" allowOverlap="1" wp14:anchorId="2811409D" wp14:editId="38E894E3">
              <wp:simplePos x="0" y="0"/>
              <wp:positionH relativeFrom="column">
                <wp:posOffset>5699760</wp:posOffset>
              </wp:positionH>
              <wp:positionV relativeFrom="paragraph">
                <wp:posOffset>106680</wp:posOffset>
              </wp:positionV>
              <wp:extent cx="883920" cy="320040"/>
              <wp:effectExtent l="0" t="0" r="0" b="3810"/>
              <wp:wrapThrough wrapText="bothSides">
                <wp:wrapPolygon edited="0">
                  <wp:start x="1397" y="0"/>
                  <wp:lineTo x="1397" y="20571"/>
                  <wp:lineTo x="20017" y="20571"/>
                  <wp:lineTo x="20017" y="0"/>
                  <wp:lineTo x="1397" y="0"/>
                </wp:wrapPolygon>
              </wp:wrapThrough>
              <wp:docPr id="8" name="Casella di testo 8"/>
              <wp:cNvGraphicFramePr/>
              <a:graphic xmlns:a="http://schemas.openxmlformats.org/drawingml/2006/main">
                <a:graphicData uri="http://schemas.microsoft.com/office/word/2010/wordprocessingShape">
                  <wps:wsp>
                    <wps:cNvSpPr txBox="1"/>
                    <wps:spPr>
                      <a:xfrm>
                        <a:off x="0" y="0"/>
                        <a:ext cx="883920" cy="320040"/>
                      </a:xfrm>
                      <a:prstGeom prst="rect">
                        <a:avLst/>
                      </a:prstGeom>
                      <a:noFill/>
                      <a:ln w="6350">
                        <a:noFill/>
                      </a:ln>
                    </wps:spPr>
                    <wps:txbx>
                      <w:txbxContent>
                        <w:p w:rsidRPr="000547AA" w:rsidR="00196CA7" w:rsidP="00196CA7" w:rsidRDefault="00196CA7" w14:paraId="473CE82A" w14:textId="606D5060">
                          <w:pPr>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AE1996">
                            <w:rPr>
                              <w:rFonts w:cstheme="minorHAnsi"/>
                              <w:i/>
                              <w:iCs/>
                              <w:noProof/>
                              <w:color w:val="2D489D"/>
                              <w:sz w:val="16"/>
                              <w:szCs w:val="16"/>
                            </w:rPr>
                            <w:t>3</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AE1996">
                            <w:rPr>
                              <w:rFonts w:cstheme="minorHAnsi"/>
                              <w:i/>
                              <w:iCs/>
                              <w:noProof/>
                              <w:color w:val="2D489D"/>
                              <w:sz w:val="16"/>
                              <w:szCs w:val="16"/>
                            </w:rPr>
                            <w:t>47</w:t>
                          </w:r>
                          <w:r w:rsidRPr="000547AA">
                            <w:rPr>
                              <w:rFonts w:cstheme="minorHAnsi"/>
                              <w:i/>
                              <w:iCs/>
                              <w:color w:val="2D489D"/>
                              <w:sz w:val="16"/>
                              <w:szCs w:val="1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w14:anchorId="2811409D">
              <v:stroke joinstyle="miter"/>
              <v:path gradientshapeok="t" o:connecttype="rect"/>
            </v:shapetype>
            <v:shape id="Casella di testo 8" style="position:absolute;left:0;text-align:left;margin-left:448.8pt;margin-top:8.4pt;width:69.6pt;height:25.2pt;z-index:2516582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spid="_x0000_s1031"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">
              <v:textbox>
                <w:txbxContent>
                  <w:p w:rsidRPr="000547AA" w:rsidR="00196CA7" w:rsidP="00196CA7" w:rsidRDefault="00196CA7" w14:paraId="473CE82A" w14:textId="606D5060">
                    <w:pPr>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AE1996">
                      <w:rPr>
                        <w:rFonts w:cstheme="minorHAnsi"/>
                        <w:i/>
                        <w:iCs/>
                        <w:noProof/>
                        <w:color w:val="2D489D"/>
                        <w:sz w:val="16"/>
                        <w:szCs w:val="16"/>
                      </w:rPr>
                      <w:t>3</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AE1996">
                      <w:rPr>
                        <w:rFonts w:cstheme="minorHAnsi"/>
                        <w:i/>
                        <w:iCs/>
                        <w:noProof/>
                        <w:color w:val="2D489D"/>
                        <w:sz w:val="16"/>
                        <w:szCs w:val="16"/>
                      </w:rPr>
                      <w:t>47</w:t>
                    </w:r>
                    <w:r w:rsidRPr="000547AA">
                      <w:rPr>
                        <w:rFonts w:cstheme="minorHAnsi"/>
                        <w:i/>
                        <w:iCs/>
                        <w:color w:val="2D489D"/>
                        <w:sz w:val="16"/>
                        <w:szCs w:val="16"/>
                      </w:rPr>
                      <w:fldChar w:fldCharType="end"/>
                    </w:r>
                  </w:p>
                </w:txbxContent>
              </v:textbox>
              <w10:wrap type="through"/>
            </v:shape>
          </w:pict>
        </mc:Fallback>
      </mc:AlternateContent>
    </w:r>
  </w:p>
  <w:p w:rsidRPr="00B54A14" w:rsidR="00196CA7" w:rsidP="00196CA7" w:rsidRDefault="00196CA7" w14:paraId="469A49E2" w14:textId="77777777">
    <w:pPr>
      <w:pStyle w:val="Footer"/>
      <w:jc w:val="center"/>
      <w:rPr>
        <w:rFonts w:ascii="Arial" w:hAnsi="Arial" w:cs="Arial" w:eastAsiaTheme="minorHAnsi"/>
        <w:color w:val="002060"/>
        <w:kern w:val="2"/>
        <w:sz w:val="18"/>
        <w:szCs w:val="18"/>
        <w:lang w:eastAsia="en-US"/>
      </w:rPr>
    </w:pPr>
    <w:r w:rsidRPr="00B54A14">
      <w:rPr>
        <w:rFonts w:ascii="Arial" w:hAnsi="Arial" w:cs="Arial" w:eastAsiaTheme="minorHAnsi"/>
        <w:color w:val="002060"/>
        <w:kern w:val="2"/>
        <w:sz w:val="18"/>
        <w:szCs w:val="18"/>
        <w:lang w:eastAsia="en-US"/>
      </w:rPr>
      <w:t>Manuale delle Verifiche di Gestione</w:t>
    </w:r>
    <w:r>
      <w:rPr>
        <w:rFonts w:ascii="Arial" w:hAnsi="Arial" w:cs="Arial" w:eastAsiaTheme="minorHAnsi"/>
        <w:color w:val="002060"/>
        <w:kern w:val="2"/>
        <w:sz w:val="18"/>
        <w:szCs w:val="18"/>
        <w:lang w:eastAsia="en-US"/>
      </w:rPr>
      <w:t xml:space="preserve"> dell’Autorità di Gestione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E35125" w:rsidP="000238DD" w:rsidRDefault="00E35125" w14:paraId="2C46F7F2" w14:textId="77777777">
      <w:r>
        <w:separator/>
      </w:r>
    </w:p>
  </w:footnote>
  <w:footnote w:type="continuationSeparator" w:id="0">
    <w:p w:rsidR="00E35125" w:rsidP="000238DD" w:rsidRDefault="00E35125" w14:paraId="3795F375" w14:textId="77777777">
      <w:r>
        <w:continuationSeparator/>
      </w:r>
    </w:p>
  </w:footnote>
  <w:footnote w:type="continuationNotice" w:id="1">
    <w:p w:rsidR="00E35125" w:rsidRDefault="00E35125" w14:paraId="1E22E306" w14:textId="77777777"/>
  </w:footnote>
  <w:footnote w:id="2">
    <w:p w:rsidR="00D55E00" w:rsidRDefault="00D55E00" w14:paraId="79EE634D" w14:textId="39DD2F4E">
      <w:pPr>
        <w:pStyle w:val="FootnoteText"/>
      </w:pPr>
      <w:r>
        <w:rPr>
          <w:rStyle w:val="FootnoteReference"/>
        </w:rPr>
        <w:footnoteRef/>
      </w:r>
      <w:r>
        <w:t xml:space="preserve"> </w:t>
      </w:r>
      <w:r w:rsidRPr="00794768">
        <w:rPr>
          <w:rFonts w:ascii="Calibri" w:hAnsi="Calibri" w:cs="Calibri"/>
        </w:rPr>
        <w:t>Orientamento “EGESIF_16-0014-00 20/01/2017” - Guida ai metodi di campionamento per le autorità di audit Periodi di programmazione 2007-2013 e 2014-2020.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D55E00" w:rsidRDefault="00942B4D" w14:paraId="41B1E8B5" w14:textId="60A301FA">
    <w:pPr>
      <w:pStyle w:val="Header"/>
    </w:pPr>
    <w:r>
      <w:rPr>
        <w:noProof/>
      </w:rPr>
      <w:drawing>
        <wp:inline distT="0" distB="0" distL="0" distR="0" wp14:anchorId="688FBDFE" wp14:editId="531A5AFB">
          <wp:extent cx="6120130" cy="598170"/>
          <wp:effectExtent l="0" t="0" r="0" b="0"/>
          <wp:docPr id="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598170"/>
                  </a:xfrm>
                  <a:prstGeom prst="rect">
                    <a:avLst/>
                  </a:prstGeom>
                  <a:noFill/>
                  <a:ln>
                    <a:noFill/>
                  </a:ln>
                </pic:spPr>
              </pic:pic>
            </a:graphicData>
          </a:graphic>
        </wp:inline>
      </w:drawing>
    </w:r>
    <w:r w:rsidR="00D55E00">
      <w:ptab w:alignment="center" w:relativeTo="margin" w:leader="none"/>
    </w:r>
    <w:r w:rsidR="00D55E00">
      <w:ptab w:alignment="center" w:relativeTo="margin" w:leader="none"/>
    </w:r>
    <w:r w:rsidR="00D55E00">
      <w:ptab w:alignment="right" w:relativeTo="margin" w:leader="none"/>
    </w:r>
    <w:r w:rsidR="00D55E00">
      <w:ptab w:alignment="center" w:relativeTo="margin"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D55E00" w:rsidRDefault="00D55E00" w14:paraId="0BA49CA9" w14:textId="17098059">
    <w:pPr>
      <w:pStyle w:val="Header"/>
    </w:pPr>
    <w:r>
      <w:rPr>
        <w:noProof/>
      </w:rPr>
      <w:drawing>
        <wp:inline distT="0" distB="0" distL="0" distR="0" wp14:anchorId="628D90C6" wp14:editId="4DB7CCD8">
          <wp:extent cx="6120130" cy="598170"/>
          <wp:effectExtent l="0" t="0" r="0" b="0"/>
          <wp:docPr id="159511241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598170"/>
                  </a:xfrm>
                  <a:prstGeom prst="rect">
                    <a:avLst/>
                  </a:prstGeom>
                  <a:noFill/>
                  <a:ln>
                    <a:noFill/>
                  </a:ln>
                </pic:spPr>
              </pic:pic>
            </a:graphicData>
          </a:graphic>
        </wp:inline>
      </w:drawing>
    </w: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F7572"/>
    <w:multiLevelType w:val="hybridMultilevel"/>
    <w:tmpl w:val="C79C697E"/>
    <w:lvl w:ilvl="0" w:tplc="04100001">
      <w:start w:val="1"/>
      <w:numFmt w:val="bullet"/>
      <w:lvlText w:val=""/>
      <w:lvlJc w:val="left"/>
      <w:pPr>
        <w:ind w:left="720" w:hanging="360"/>
      </w:pPr>
      <w:rPr>
        <w:rFonts w:hint="default" w:ascii="Symbol" w:hAnsi="Symbol"/>
      </w:rPr>
    </w:lvl>
    <w:lvl w:ilvl="1" w:tplc="04100003">
      <w:start w:val="1"/>
      <w:numFmt w:val="bullet"/>
      <w:lvlText w:val="o"/>
      <w:lvlJc w:val="left"/>
      <w:pPr>
        <w:ind w:left="1440" w:hanging="360"/>
      </w:pPr>
      <w:rPr>
        <w:rFonts w:hint="default" w:ascii="Courier New" w:hAnsi="Courier New" w:cs="Courier New"/>
      </w:rPr>
    </w:lvl>
    <w:lvl w:ilvl="2" w:tplc="04100005">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 w15:restartNumberingAfterBreak="0">
    <w:nsid w:val="08431781"/>
    <w:multiLevelType w:val="hybridMultilevel"/>
    <w:tmpl w:val="EF5C4EF2"/>
    <w:lvl w:ilvl="0" w:tplc="96CCBF60">
      <w:start w:val="1"/>
      <w:numFmt w:val="bullet"/>
      <w:lvlText w:val=""/>
      <w:lvlJc w:val="left"/>
      <w:pPr>
        <w:ind w:left="1794" w:hanging="360"/>
      </w:pPr>
      <w:rPr>
        <w:rFonts w:hint="default" w:ascii="Wingdings" w:hAnsi="Wingdings"/>
        <w:color w:val="0070C0"/>
      </w:rPr>
    </w:lvl>
    <w:lvl w:ilvl="1" w:tplc="04100003" w:tentative="1">
      <w:start w:val="1"/>
      <w:numFmt w:val="bullet"/>
      <w:lvlText w:val="o"/>
      <w:lvlJc w:val="left"/>
      <w:pPr>
        <w:ind w:left="2514" w:hanging="360"/>
      </w:pPr>
      <w:rPr>
        <w:rFonts w:hint="default" w:ascii="Courier New" w:hAnsi="Courier New" w:cs="Courier New"/>
      </w:rPr>
    </w:lvl>
    <w:lvl w:ilvl="2" w:tplc="04100005" w:tentative="1">
      <w:start w:val="1"/>
      <w:numFmt w:val="bullet"/>
      <w:lvlText w:val=""/>
      <w:lvlJc w:val="left"/>
      <w:pPr>
        <w:ind w:left="3234" w:hanging="360"/>
      </w:pPr>
      <w:rPr>
        <w:rFonts w:hint="default" w:ascii="Wingdings" w:hAnsi="Wingdings"/>
      </w:rPr>
    </w:lvl>
    <w:lvl w:ilvl="3" w:tplc="04100001" w:tentative="1">
      <w:start w:val="1"/>
      <w:numFmt w:val="bullet"/>
      <w:lvlText w:val=""/>
      <w:lvlJc w:val="left"/>
      <w:pPr>
        <w:ind w:left="3954" w:hanging="360"/>
      </w:pPr>
      <w:rPr>
        <w:rFonts w:hint="default" w:ascii="Symbol" w:hAnsi="Symbol"/>
      </w:rPr>
    </w:lvl>
    <w:lvl w:ilvl="4" w:tplc="04100003" w:tentative="1">
      <w:start w:val="1"/>
      <w:numFmt w:val="bullet"/>
      <w:lvlText w:val="o"/>
      <w:lvlJc w:val="left"/>
      <w:pPr>
        <w:ind w:left="4674" w:hanging="360"/>
      </w:pPr>
      <w:rPr>
        <w:rFonts w:hint="default" w:ascii="Courier New" w:hAnsi="Courier New" w:cs="Courier New"/>
      </w:rPr>
    </w:lvl>
    <w:lvl w:ilvl="5" w:tplc="04100005" w:tentative="1">
      <w:start w:val="1"/>
      <w:numFmt w:val="bullet"/>
      <w:lvlText w:val=""/>
      <w:lvlJc w:val="left"/>
      <w:pPr>
        <w:ind w:left="5394" w:hanging="360"/>
      </w:pPr>
      <w:rPr>
        <w:rFonts w:hint="default" w:ascii="Wingdings" w:hAnsi="Wingdings"/>
      </w:rPr>
    </w:lvl>
    <w:lvl w:ilvl="6" w:tplc="04100001" w:tentative="1">
      <w:start w:val="1"/>
      <w:numFmt w:val="bullet"/>
      <w:lvlText w:val=""/>
      <w:lvlJc w:val="left"/>
      <w:pPr>
        <w:ind w:left="6114" w:hanging="360"/>
      </w:pPr>
      <w:rPr>
        <w:rFonts w:hint="default" w:ascii="Symbol" w:hAnsi="Symbol"/>
      </w:rPr>
    </w:lvl>
    <w:lvl w:ilvl="7" w:tplc="04100003" w:tentative="1">
      <w:start w:val="1"/>
      <w:numFmt w:val="bullet"/>
      <w:lvlText w:val="o"/>
      <w:lvlJc w:val="left"/>
      <w:pPr>
        <w:ind w:left="6834" w:hanging="360"/>
      </w:pPr>
      <w:rPr>
        <w:rFonts w:hint="default" w:ascii="Courier New" w:hAnsi="Courier New" w:cs="Courier New"/>
      </w:rPr>
    </w:lvl>
    <w:lvl w:ilvl="8" w:tplc="04100005" w:tentative="1">
      <w:start w:val="1"/>
      <w:numFmt w:val="bullet"/>
      <w:lvlText w:val=""/>
      <w:lvlJc w:val="left"/>
      <w:pPr>
        <w:ind w:left="7554" w:hanging="360"/>
      </w:pPr>
      <w:rPr>
        <w:rFonts w:hint="default" w:ascii="Wingdings" w:hAnsi="Wingdings"/>
      </w:rPr>
    </w:lvl>
  </w:abstractNum>
  <w:abstractNum w:abstractNumId="2" w15:restartNumberingAfterBreak="0">
    <w:nsid w:val="084901B9"/>
    <w:multiLevelType w:val="multilevel"/>
    <w:tmpl w:val="A4B42EE0"/>
    <w:lvl w:ilvl="0">
      <w:start w:val="1"/>
      <w:numFmt w:val="decimal"/>
      <w:lvlText w:val="%1."/>
      <w:lvlJc w:val="left"/>
      <w:pPr>
        <w:ind w:left="360" w:hanging="360"/>
      </w:pPr>
      <w:rPr>
        <w:rFonts w:hint="default"/>
      </w:rPr>
    </w:lvl>
    <w:lvl w:ilvl="1">
      <w:start w:val="5"/>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 w15:restartNumberingAfterBreak="0">
    <w:nsid w:val="0D5B4140"/>
    <w:multiLevelType w:val="hybridMultilevel"/>
    <w:tmpl w:val="634E0FDC"/>
    <w:lvl w:ilvl="0" w:tplc="B0320026">
      <w:start w:val="1"/>
      <w:numFmt w:val="bullet"/>
      <w:lvlText w:val=""/>
      <w:lvlJc w:val="left"/>
      <w:pPr>
        <w:ind w:left="1080" w:hanging="360"/>
      </w:pPr>
      <w:rPr>
        <w:rFonts w:hint="default" w:ascii="Symbol" w:hAnsi="Symbol"/>
      </w:rPr>
    </w:lvl>
    <w:lvl w:ilvl="1" w:tplc="245A190C">
      <w:start w:val="1"/>
      <w:numFmt w:val="bullet"/>
      <w:lvlText w:val="o"/>
      <w:lvlJc w:val="left"/>
      <w:pPr>
        <w:ind w:left="1800" w:hanging="360"/>
      </w:pPr>
      <w:rPr>
        <w:rFonts w:hint="default" w:ascii="Courier New" w:hAnsi="Courier New"/>
      </w:rPr>
    </w:lvl>
    <w:lvl w:ilvl="2" w:tplc="46660698">
      <w:start w:val="1"/>
      <w:numFmt w:val="bullet"/>
      <w:lvlText w:val=""/>
      <w:lvlJc w:val="left"/>
      <w:pPr>
        <w:ind w:left="2520" w:hanging="360"/>
      </w:pPr>
      <w:rPr>
        <w:rFonts w:hint="default" w:ascii="Wingdings" w:hAnsi="Wingdings"/>
      </w:rPr>
    </w:lvl>
    <w:lvl w:ilvl="3" w:tplc="6CDE0E4C">
      <w:start w:val="1"/>
      <w:numFmt w:val="bullet"/>
      <w:lvlText w:val=""/>
      <w:lvlJc w:val="left"/>
      <w:pPr>
        <w:ind w:left="3240" w:hanging="360"/>
      </w:pPr>
      <w:rPr>
        <w:rFonts w:hint="default" w:ascii="Symbol" w:hAnsi="Symbol"/>
      </w:rPr>
    </w:lvl>
    <w:lvl w:ilvl="4" w:tplc="F61C1BDA">
      <w:start w:val="1"/>
      <w:numFmt w:val="bullet"/>
      <w:lvlText w:val="o"/>
      <w:lvlJc w:val="left"/>
      <w:pPr>
        <w:ind w:left="3960" w:hanging="360"/>
      </w:pPr>
      <w:rPr>
        <w:rFonts w:hint="default" w:ascii="Courier New" w:hAnsi="Courier New"/>
      </w:rPr>
    </w:lvl>
    <w:lvl w:ilvl="5" w:tplc="D62E523E">
      <w:start w:val="1"/>
      <w:numFmt w:val="bullet"/>
      <w:lvlText w:val=""/>
      <w:lvlJc w:val="left"/>
      <w:pPr>
        <w:ind w:left="4680" w:hanging="360"/>
      </w:pPr>
      <w:rPr>
        <w:rFonts w:hint="default" w:ascii="Wingdings" w:hAnsi="Wingdings"/>
      </w:rPr>
    </w:lvl>
    <w:lvl w:ilvl="6" w:tplc="99A2508A">
      <w:start w:val="1"/>
      <w:numFmt w:val="bullet"/>
      <w:lvlText w:val=""/>
      <w:lvlJc w:val="left"/>
      <w:pPr>
        <w:ind w:left="5400" w:hanging="360"/>
      </w:pPr>
      <w:rPr>
        <w:rFonts w:hint="default" w:ascii="Symbol" w:hAnsi="Symbol"/>
      </w:rPr>
    </w:lvl>
    <w:lvl w:ilvl="7" w:tplc="5162AE4A">
      <w:start w:val="1"/>
      <w:numFmt w:val="bullet"/>
      <w:lvlText w:val="o"/>
      <w:lvlJc w:val="left"/>
      <w:pPr>
        <w:ind w:left="6120" w:hanging="360"/>
      </w:pPr>
      <w:rPr>
        <w:rFonts w:hint="default" w:ascii="Courier New" w:hAnsi="Courier New"/>
      </w:rPr>
    </w:lvl>
    <w:lvl w:ilvl="8" w:tplc="E3ACBDF8">
      <w:start w:val="1"/>
      <w:numFmt w:val="bullet"/>
      <w:lvlText w:val=""/>
      <w:lvlJc w:val="left"/>
      <w:pPr>
        <w:ind w:left="6840" w:hanging="360"/>
      </w:pPr>
      <w:rPr>
        <w:rFonts w:hint="default" w:ascii="Wingdings" w:hAnsi="Wingdings"/>
      </w:rPr>
    </w:lvl>
  </w:abstractNum>
  <w:abstractNum w:abstractNumId="4" w15:restartNumberingAfterBreak="0">
    <w:nsid w:val="15AD3C13"/>
    <w:multiLevelType w:val="hybridMultilevel"/>
    <w:tmpl w:val="F0B290DC"/>
    <w:lvl w:ilvl="0" w:tplc="E0B65554">
      <w:start w:val="1"/>
      <w:numFmt w:val="bullet"/>
      <w:lvlText w:val=""/>
      <w:lvlJc w:val="left"/>
      <w:pPr>
        <w:ind w:left="720" w:hanging="360"/>
      </w:pPr>
      <w:rPr>
        <w:rFonts w:hint="default" w:ascii="Wingdings" w:hAnsi="Wingdings"/>
        <w:color w:val="0070C0"/>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5" w15:restartNumberingAfterBreak="0">
    <w:nsid w:val="18BA2952"/>
    <w:multiLevelType w:val="hybridMultilevel"/>
    <w:tmpl w:val="09AC58F8"/>
    <w:lvl w:ilvl="0" w:tplc="B24ECE54">
      <w:start w:val="1"/>
      <w:numFmt w:val="bullet"/>
      <w:lvlText w:val=""/>
      <w:lvlJc w:val="left"/>
      <w:pPr>
        <w:ind w:left="720" w:hanging="360"/>
      </w:pPr>
      <w:rPr>
        <w:rFonts w:hint="default" w:ascii="Wingdings" w:hAnsi="Wingdings"/>
      </w:rPr>
    </w:lvl>
    <w:lvl w:ilvl="1" w:tplc="E318C86C">
      <w:start w:val="1"/>
      <w:numFmt w:val="bullet"/>
      <w:lvlText w:val="o"/>
      <w:lvlJc w:val="left"/>
      <w:pPr>
        <w:ind w:left="1440" w:hanging="360"/>
      </w:pPr>
      <w:rPr>
        <w:rFonts w:hint="default" w:ascii="Courier New" w:hAnsi="Courier New"/>
      </w:rPr>
    </w:lvl>
    <w:lvl w:ilvl="2" w:tplc="5CC699CC">
      <w:start w:val="1"/>
      <w:numFmt w:val="bullet"/>
      <w:lvlText w:val=""/>
      <w:lvlJc w:val="left"/>
      <w:pPr>
        <w:ind w:left="2160" w:hanging="360"/>
      </w:pPr>
      <w:rPr>
        <w:rFonts w:hint="default" w:ascii="Wingdings" w:hAnsi="Wingdings"/>
      </w:rPr>
    </w:lvl>
    <w:lvl w:ilvl="3" w:tplc="CF5CA318">
      <w:start w:val="1"/>
      <w:numFmt w:val="bullet"/>
      <w:lvlText w:val=""/>
      <w:lvlJc w:val="left"/>
      <w:pPr>
        <w:ind w:left="2880" w:hanging="360"/>
      </w:pPr>
      <w:rPr>
        <w:rFonts w:hint="default" w:ascii="Symbol" w:hAnsi="Symbol"/>
      </w:rPr>
    </w:lvl>
    <w:lvl w:ilvl="4" w:tplc="442E2C4A">
      <w:start w:val="1"/>
      <w:numFmt w:val="bullet"/>
      <w:lvlText w:val="o"/>
      <w:lvlJc w:val="left"/>
      <w:pPr>
        <w:ind w:left="3600" w:hanging="360"/>
      </w:pPr>
      <w:rPr>
        <w:rFonts w:hint="default" w:ascii="Courier New" w:hAnsi="Courier New"/>
      </w:rPr>
    </w:lvl>
    <w:lvl w:ilvl="5" w:tplc="78327D80">
      <w:start w:val="1"/>
      <w:numFmt w:val="bullet"/>
      <w:lvlText w:val=""/>
      <w:lvlJc w:val="left"/>
      <w:pPr>
        <w:ind w:left="4320" w:hanging="360"/>
      </w:pPr>
      <w:rPr>
        <w:rFonts w:hint="default" w:ascii="Wingdings" w:hAnsi="Wingdings"/>
      </w:rPr>
    </w:lvl>
    <w:lvl w:ilvl="6" w:tplc="1F58F024">
      <w:start w:val="1"/>
      <w:numFmt w:val="bullet"/>
      <w:lvlText w:val=""/>
      <w:lvlJc w:val="left"/>
      <w:pPr>
        <w:ind w:left="5040" w:hanging="360"/>
      </w:pPr>
      <w:rPr>
        <w:rFonts w:hint="default" w:ascii="Symbol" w:hAnsi="Symbol"/>
      </w:rPr>
    </w:lvl>
    <w:lvl w:ilvl="7" w:tplc="38800196">
      <w:start w:val="1"/>
      <w:numFmt w:val="bullet"/>
      <w:lvlText w:val="o"/>
      <w:lvlJc w:val="left"/>
      <w:pPr>
        <w:ind w:left="5760" w:hanging="360"/>
      </w:pPr>
      <w:rPr>
        <w:rFonts w:hint="default" w:ascii="Courier New" w:hAnsi="Courier New"/>
      </w:rPr>
    </w:lvl>
    <w:lvl w:ilvl="8" w:tplc="30CA3AB0">
      <w:start w:val="1"/>
      <w:numFmt w:val="bullet"/>
      <w:lvlText w:val=""/>
      <w:lvlJc w:val="left"/>
      <w:pPr>
        <w:ind w:left="6480" w:hanging="360"/>
      </w:pPr>
      <w:rPr>
        <w:rFonts w:hint="default" w:ascii="Wingdings" w:hAnsi="Wingdings"/>
      </w:rPr>
    </w:lvl>
  </w:abstractNum>
  <w:abstractNum w:abstractNumId="6" w15:restartNumberingAfterBreak="0">
    <w:nsid w:val="1B262B1A"/>
    <w:multiLevelType w:val="hybridMultilevel"/>
    <w:tmpl w:val="251E34E6"/>
    <w:lvl w:ilvl="0" w:tplc="AD6C95CC">
      <w:start w:val="1"/>
      <w:numFmt w:val="bullet"/>
      <w:lvlText w:val=""/>
      <w:lvlJc w:val="left"/>
      <w:pPr>
        <w:ind w:left="720" w:hanging="360"/>
      </w:pPr>
      <w:rPr>
        <w:rFonts w:hint="default" w:ascii="Wingdings" w:hAnsi="Wingdings"/>
        <w:color w:val="0070C0"/>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7" w15:restartNumberingAfterBreak="0">
    <w:nsid w:val="1BE5077A"/>
    <w:multiLevelType w:val="hybridMultilevel"/>
    <w:tmpl w:val="CBA656CE"/>
    <w:lvl w:ilvl="0" w:tplc="8A5094F6">
      <w:start w:val="1"/>
      <w:numFmt w:val="bullet"/>
      <w:lvlText w:val=""/>
      <w:lvlJc w:val="left"/>
      <w:pPr>
        <w:ind w:left="720" w:hanging="360"/>
      </w:pPr>
      <w:rPr>
        <w:rFonts w:hint="default" w:ascii="Wingdings" w:hAnsi="Wingdings"/>
      </w:rPr>
    </w:lvl>
    <w:lvl w:ilvl="1" w:tplc="50207522">
      <w:start w:val="1"/>
      <w:numFmt w:val="bullet"/>
      <w:lvlText w:val="o"/>
      <w:lvlJc w:val="left"/>
      <w:pPr>
        <w:ind w:left="1440" w:hanging="360"/>
      </w:pPr>
      <w:rPr>
        <w:rFonts w:hint="default" w:ascii="Courier New" w:hAnsi="Courier New"/>
      </w:rPr>
    </w:lvl>
    <w:lvl w:ilvl="2" w:tplc="2438E940">
      <w:start w:val="1"/>
      <w:numFmt w:val="bullet"/>
      <w:lvlText w:val=""/>
      <w:lvlJc w:val="left"/>
      <w:pPr>
        <w:ind w:left="2160" w:hanging="360"/>
      </w:pPr>
      <w:rPr>
        <w:rFonts w:hint="default" w:ascii="Wingdings" w:hAnsi="Wingdings"/>
      </w:rPr>
    </w:lvl>
    <w:lvl w:ilvl="3" w:tplc="BE5A3C16">
      <w:start w:val="1"/>
      <w:numFmt w:val="bullet"/>
      <w:lvlText w:val=""/>
      <w:lvlJc w:val="left"/>
      <w:pPr>
        <w:ind w:left="2880" w:hanging="360"/>
      </w:pPr>
      <w:rPr>
        <w:rFonts w:hint="default" w:ascii="Symbol" w:hAnsi="Symbol"/>
      </w:rPr>
    </w:lvl>
    <w:lvl w:ilvl="4" w:tplc="820C904A">
      <w:start w:val="1"/>
      <w:numFmt w:val="bullet"/>
      <w:lvlText w:val="o"/>
      <w:lvlJc w:val="left"/>
      <w:pPr>
        <w:ind w:left="3600" w:hanging="360"/>
      </w:pPr>
      <w:rPr>
        <w:rFonts w:hint="default" w:ascii="Courier New" w:hAnsi="Courier New"/>
      </w:rPr>
    </w:lvl>
    <w:lvl w:ilvl="5" w:tplc="0EC4EE50">
      <w:start w:val="1"/>
      <w:numFmt w:val="bullet"/>
      <w:lvlText w:val=""/>
      <w:lvlJc w:val="left"/>
      <w:pPr>
        <w:ind w:left="4320" w:hanging="360"/>
      </w:pPr>
      <w:rPr>
        <w:rFonts w:hint="default" w:ascii="Wingdings" w:hAnsi="Wingdings"/>
      </w:rPr>
    </w:lvl>
    <w:lvl w:ilvl="6" w:tplc="FC5E4210">
      <w:start w:val="1"/>
      <w:numFmt w:val="bullet"/>
      <w:lvlText w:val=""/>
      <w:lvlJc w:val="left"/>
      <w:pPr>
        <w:ind w:left="5040" w:hanging="360"/>
      </w:pPr>
      <w:rPr>
        <w:rFonts w:hint="default" w:ascii="Symbol" w:hAnsi="Symbol"/>
      </w:rPr>
    </w:lvl>
    <w:lvl w:ilvl="7" w:tplc="BCE2A1DC">
      <w:start w:val="1"/>
      <w:numFmt w:val="bullet"/>
      <w:lvlText w:val="o"/>
      <w:lvlJc w:val="left"/>
      <w:pPr>
        <w:ind w:left="5760" w:hanging="360"/>
      </w:pPr>
      <w:rPr>
        <w:rFonts w:hint="default" w:ascii="Courier New" w:hAnsi="Courier New"/>
      </w:rPr>
    </w:lvl>
    <w:lvl w:ilvl="8" w:tplc="1438E6A2">
      <w:start w:val="1"/>
      <w:numFmt w:val="bullet"/>
      <w:lvlText w:val=""/>
      <w:lvlJc w:val="left"/>
      <w:pPr>
        <w:ind w:left="6480" w:hanging="360"/>
      </w:pPr>
      <w:rPr>
        <w:rFonts w:hint="default" w:ascii="Wingdings" w:hAnsi="Wingdings"/>
      </w:rPr>
    </w:lvl>
  </w:abstractNum>
  <w:abstractNum w:abstractNumId="8" w15:restartNumberingAfterBreak="0">
    <w:nsid w:val="1E141FA6"/>
    <w:multiLevelType w:val="hybridMultilevel"/>
    <w:tmpl w:val="EA16DAD2"/>
    <w:lvl w:ilvl="0" w:tplc="3392D536">
      <w:start w:val="1"/>
      <w:numFmt w:val="bullet"/>
      <w:lvlText w:val=""/>
      <w:lvlJc w:val="left"/>
      <w:pPr>
        <w:ind w:left="720" w:hanging="360"/>
      </w:pPr>
      <w:rPr>
        <w:rFonts w:hint="default" w:ascii="Wingdings" w:hAnsi="Wingdings"/>
        <w:color w:val="0070C0"/>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9" w15:restartNumberingAfterBreak="0">
    <w:nsid w:val="27F75EF7"/>
    <w:multiLevelType w:val="multilevel"/>
    <w:tmpl w:val="355C8F7A"/>
    <w:lvl w:ilvl="0">
      <w:start w:val="1"/>
      <w:numFmt w:val="decimal"/>
      <w:lvlText w:val="%1."/>
      <w:lvlJc w:val="left"/>
      <w:pPr>
        <w:ind w:left="1069" w:hanging="360"/>
      </w:pPr>
      <w:rPr>
        <w:rFonts w:hint="default"/>
      </w:rPr>
    </w:lvl>
    <w:lvl w:ilvl="1">
      <w:start w:val="5"/>
      <w:numFmt w:val="decimal"/>
      <w:isLgl/>
      <w:lvlText w:val="%1.%2"/>
      <w:lvlJc w:val="left"/>
      <w:pPr>
        <w:ind w:left="1479" w:hanging="770"/>
      </w:pPr>
      <w:rPr>
        <w:rFonts w:hint="default"/>
      </w:rPr>
    </w:lvl>
    <w:lvl w:ilvl="2">
      <w:start w:val="2"/>
      <w:numFmt w:val="decimal"/>
      <w:isLgl/>
      <w:lvlText w:val="%1.%2.%3"/>
      <w:lvlJc w:val="left"/>
      <w:pPr>
        <w:ind w:left="1479" w:hanging="770"/>
      </w:pPr>
      <w:rPr>
        <w:rFonts w:hint="default"/>
      </w:rPr>
    </w:lvl>
    <w:lvl w:ilvl="3">
      <w:start w:val="1"/>
      <w:numFmt w:val="decimal"/>
      <w:isLgl/>
      <w:lvlText w:val="%1.%2.%3.%4"/>
      <w:lvlJc w:val="left"/>
      <w:pPr>
        <w:ind w:left="1479" w:hanging="77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10" w15:restartNumberingAfterBreak="0">
    <w:nsid w:val="2CCB27D3"/>
    <w:multiLevelType w:val="hybridMultilevel"/>
    <w:tmpl w:val="2982C3B2"/>
    <w:lvl w:ilvl="0" w:tplc="04100001">
      <w:start w:val="1"/>
      <w:numFmt w:val="bullet"/>
      <w:lvlText w:val=""/>
      <w:lvlJc w:val="left"/>
      <w:pPr>
        <w:ind w:left="720" w:hanging="360"/>
      </w:pPr>
      <w:rPr>
        <w:rFonts w:hint="default" w:ascii="Symbol" w:hAnsi="Symbol"/>
      </w:rPr>
    </w:lvl>
    <w:lvl w:ilvl="1" w:tplc="FFFFFFFF">
      <w:start w:val="1"/>
      <w:numFmt w:val="bullet"/>
      <w:lvlText w:val="o"/>
      <w:lvlJc w:val="left"/>
      <w:pPr>
        <w:ind w:left="1440" w:hanging="360"/>
      </w:pPr>
      <w:rPr>
        <w:rFonts w:hint="default" w:ascii="Courier New" w:hAnsi="Courier New" w:cs="Courier New"/>
      </w:rPr>
    </w:lvl>
    <w:lvl w:ilvl="2" w:tplc="FFFFFFFF">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11" w15:restartNumberingAfterBreak="0">
    <w:nsid w:val="2FF3376C"/>
    <w:multiLevelType w:val="hybridMultilevel"/>
    <w:tmpl w:val="A41413A4"/>
    <w:lvl w:ilvl="0" w:tplc="FFFFFFFF">
      <w:start w:val="1"/>
      <w:numFmt w:val="bullet"/>
      <w:lvlText w:val=""/>
      <w:lvlJc w:val="left"/>
      <w:pPr>
        <w:ind w:left="720" w:hanging="360"/>
      </w:pPr>
      <w:rPr>
        <w:rFonts w:hint="default" w:ascii="Wingdings" w:hAnsi="Wingdings"/>
        <w:color w:val="0070C0"/>
      </w:rPr>
    </w:lvl>
    <w:lvl w:ilvl="1" w:tplc="E840A15E">
      <w:start w:val="1"/>
      <w:numFmt w:val="bullet"/>
      <w:lvlText w:val=""/>
      <w:lvlJc w:val="left"/>
      <w:pPr>
        <w:ind w:left="1440" w:hanging="360"/>
      </w:pPr>
      <w:rPr>
        <w:rFonts w:hint="default" w:ascii="Wingdings" w:hAnsi="Wingdings"/>
        <w:color w:val="0070C0"/>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12" w15:restartNumberingAfterBreak="0">
    <w:nsid w:val="34A97207"/>
    <w:multiLevelType w:val="multilevel"/>
    <w:tmpl w:val="FA8C792C"/>
    <w:lvl w:ilvl="0">
      <w:start w:val="1"/>
      <w:numFmt w:val="bullet"/>
      <w:lvlText w:val=""/>
      <w:lvlJc w:val="left"/>
      <w:pPr>
        <w:tabs>
          <w:tab w:val="num" w:pos="720"/>
        </w:tabs>
        <w:ind w:left="720" w:hanging="360"/>
      </w:pPr>
      <w:rPr>
        <w:rFonts w:hint="default" w:ascii="Wingdings" w:hAnsi="Wingdings"/>
        <w:color w:val="0070C0"/>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3" w15:restartNumberingAfterBreak="0">
    <w:nsid w:val="38525524"/>
    <w:multiLevelType w:val="multilevel"/>
    <w:tmpl w:val="D1E01A7C"/>
    <w:styleLink w:val="Elencocorrente1"/>
    <w:lvl w:ilvl="0">
      <w:start w:val="3"/>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9B62893"/>
    <w:multiLevelType w:val="hybridMultilevel"/>
    <w:tmpl w:val="1E18CB68"/>
    <w:lvl w:ilvl="0" w:tplc="D44E6F70">
      <w:start w:val="1"/>
      <w:numFmt w:val="bullet"/>
      <w:pStyle w:val="elenco"/>
      <w:lvlText w:val=""/>
      <w:lvlJc w:val="left"/>
      <w:pPr>
        <w:ind w:left="720" w:hanging="360"/>
      </w:pPr>
      <w:rPr>
        <w:rFonts w:hint="default" w:ascii="Wingdings" w:hAnsi="Wingdings"/>
        <w:color w:val="FFC000"/>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15" w15:restartNumberingAfterBreak="0">
    <w:nsid w:val="3E6E3B4B"/>
    <w:multiLevelType w:val="hybridMultilevel"/>
    <w:tmpl w:val="9702AB7C"/>
    <w:lvl w:ilvl="0" w:tplc="4364C9A0">
      <w:start w:val="1"/>
      <w:numFmt w:val="bullet"/>
      <w:lvlText w:val=""/>
      <w:lvlJc w:val="left"/>
      <w:pPr>
        <w:ind w:left="720" w:hanging="360"/>
      </w:pPr>
      <w:rPr>
        <w:rFonts w:hint="default" w:ascii="Wingdings" w:hAnsi="Wingdings"/>
        <w:color w:val="0070C0"/>
      </w:rPr>
    </w:lvl>
    <w:lvl w:ilvl="1" w:tplc="04100003">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6" w15:restartNumberingAfterBreak="0">
    <w:nsid w:val="3F625F89"/>
    <w:multiLevelType w:val="hybridMultilevel"/>
    <w:tmpl w:val="6CD81E94"/>
    <w:lvl w:ilvl="0" w:tplc="8F8C78E4">
      <w:start w:val="1"/>
      <w:numFmt w:val="bullet"/>
      <w:lvlText w:val=""/>
      <w:lvlJc w:val="left"/>
      <w:pPr>
        <w:ind w:left="720" w:hanging="360"/>
      </w:pPr>
      <w:rPr>
        <w:rFonts w:hint="default" w:ascii="Wingdings" w:hAnsi="Wingdings"/>
        <w:color w:val="0070C0"/>
        <w:sz w:val="18"/>
        <w:szCs w:val="18"/>
      </w:rPr>
    </w:lvl>
    <w:lvl w:ilvl="1" w:tplc="FFFFFFFF">
      <w:start w:val="1"/>
      <w:numFmt w:val="bullet"/>
      <w:lvlText w:val="o"/>
      <w:lvlJc w:val="left"/>
      <w:pPr>
        <w:ind w:left="1440" w:hanging="360"/>
      </w:pPr>
      <w:rPr>
        <w:rFonts w:hint="default" w:ascii="Courier New" w:hAnsi="Courier New" w:cs="Courier New"/>
      </w:rPr>
    </w:lvl>
    <w:lvl w:ilvl="2" w:tplc="FFFFFFFF">
      <w:start w:val="1"/>
      <w:numFmt w:val="bullet"/>
      <w:lvlText w:val=""/>
      <w:lvlJc w:val="left"/>
      <w:pPr>
        <w:ind w:left="2160" w:hanging="360"/>
      </w:pPr>
      <w:rPr>
        <w:rFonts w:hint="default" w:ascii="Wingdings" w:hAnsi="Wingdings"/>
      </w:rPr>
    </w:lvl>
    <w:lvl w:ilvl="3" w:tplc="FFFFFFFF">
      <w:start w:val="1"/>
      <w:numFmt w:val="bullet"/>
      <w:lvlText w:val=""/>
      <w:lvlJc w:val="left"/>
      <w:pPr>
        <w:ind w:left="2880" w:hanging="360"/>
      </w:pPr>
      <w:rPr>
        <w:rFonts w:hint="default" w:ascii="Symbol" w:hAnsi="Symbol"/>
      </w:rPr>
    </w:lvl>
    <w:lvl w:ilvl="4" w:tplc="FFFFFFFF">
      <w:start w:val="1"/>
      <w:numFmt w:val="bullet"/>
      <w:lvlText w:val="o"/>
      <w:lvlJc w:val="left"/>
      <w:pPr>
        <w:ind w:left="3600" w:hanging="360"/>
      </w:pPr>
      <w:rPr>
        <w:rFonts w:hint="default" w:ascii="Courier New" w:hAnsi="Courier New" w:cs="Courier New"/>
      </w:rPr>
    </w:lvl>
    <w:lvl w:ilvl="5" w:tplc="FFFFFFFF">
      <w:start w:val="1"/>
      <w:numFmt w:val="bullet"/>
      <w:lvlText w:val=""/>
      <w:lvlJc w:val="left"/>
      <w:pPr>
        <w:ind w:left="4320" w:hanging="360"/>
      </w:pPr>
      <w:rPr>
        <w:rFonts w:hint="default" w:ascii="Wingdings" w:hAnsi="Wingdings"/>
      </w:rPr>
    </w:lvl>
    <w:lvl w:ilvl="6" w:tplc="FFFFFFFF">
      <w:start w:val="1"/>
      <w:numFmt w:val="bullet"/>
      <w:lvlText w:val=""/>
      <w:lvlJc w:val="left"/>
      <w:pPr>
        <w:ind w:left="5040" w:hanging="360"/>
      </w:pPr>
      <w:rPr>
        <w:rFonts w:hint="default" w:ascii="Symbol" w:hAnsi="Symbol"/>
      </w:rPr>
    </w:lvl>
    <w:lvl w:ilvl="7" w:tplc="FFFFFFFF">
      <w:start w:val="1"/>
      <w:numFmt w:val="bullet"/>
      <w:lvlText w:val="o"/>
      <w:lvlJc w:val="left"/>
      <w:pPr>
        <w:ind w:left="5760" w:hanging="360"/>
      </w:pPr>
      <w:rPr>
        <w:rFonts w:hint="default" w:ascii="Courier New" w:hAnsi="Courier New" w:cs="Courier New"/>
      </w:rPr>
    </w:lvl>
    <w:lvl w:ilvl="8" w:tplc="FFFFFFFF">
      <w:start w:val="1"/>
      <w:numFmt w:val="bullet"/>
      <w:lvlText w:val=""/>
      <w:lvlJc w:val="left"/>
      <w:pPr>
        <w:ind w:left="6480" w:hanging="360"/>
      </w:pPr>
      <w:rPr>
        <w:rFonts w:hint="default" w:ascii="Wingdings" w:hAnsi="Wingdings"/>
      </w:rPr>
    </w:lvl>
  </w:abstractNum>
  <w:abstractNum w:abstractNumId="17" w15:restartNumberingAfterBreak="0">
    <w:nsid w:val="448B523D"/>
    <w:multiLevelType w:val="hybridMultilevel"/>
    <w:tmpl w:val="8EB0978E"/>
    <w:lvl w:ilvl="0" w:tplc="B972D088">
      <w:numFmt w:val="bullet"/>
      <w:pStyle w:val="Stile1"/>
      <w:lvlText w:val=""/>
      <w:lvlJc w:val="left"/>
      <w:pPr>
        <w:ind w:left="1101" w:hanging="425"/>
      </w:pPr>
      <w:rPr>
        <w:rFonts w:hint="default" w:ascii="Symbol" w:hAnsi="Symbol" w:eastAsia="Symbol" w:cs="Symbol"/>
        <w:color w:val="FFC000"/>
        <w:w w:val="100"/>
        <w:sz w:val="18"/>
        <w:szCs w:val="18"/>
        <w:lang w:val="it-IT" w:eastAsia="it-IT" w:bidi="it-IT"/>
      </w:rPr>
    </w:lvl>
    <w:lvl w:ilvl="1" w:tplc="150604C8">
      <w:numFmt w:val="bullet"/>
      <w:lvlText w:val="•"/>
      <w:lvlJc w:val="left"/>
      <w:pPr>
        <w:ind w:left="2024" w:hanging="425"/>
      </w:pPr>
      <w:rPr>
        <w:rFonts w:hint="default"/>
        <w:lang w:val="it-IT" w:eastAsia="it-IT" w:bidi="it-IT"/>
      </w:rPr>
    </w:lvl>
    <w:lvl w:ilvl="2" w:tplc="C4AA46E4">
      <w:numFmt w:val="bullet"/>
      <w:lvlText w:val="•"/>
      <w:lvlJc w:val="left"/>
      <w:pPr>
        <w:ind w:left="2949" w:hanging="425"/>
      </w:pPr>
      <w:rPr>
        <w:rFonts w:hint="default"/>
        <w:lang w:val="it-IT" w:eastAsia="it-IT" w:bidi="it-IT"/>
      </w:rPr>
    </w:lvl>
    <w:lvl w:ilvl="3" w:tplc="171285DC">
      <w:numFmt w:val="bullet"/>
      <w:lvlText w:val="•"/>
      <w:lvlJc w:val="left"/>
      <w:pPr>
        <w:ind w:left="3873" w:hanging="425"/>
      </w:pPr>
      <w:rPr>
        <w:rFonts w:hint="default"/>
        <w:lang w:val="it-IT" w:eastAsia="it-IT" w:bidi="it-IT"/>
      </w:rPr>
    </w:lvl>
    <w:lvl w:ilvl="4" w:tplc="CE38F08C">
      <w:numFmt w:val="bullet"/>
      <w:lvlText w:val="•"/>
      <w:lvlJc w:val="left"/>
      <w:pPr>
        <w:ind w:left="4798" w:hanging="425"/>
      </w:pPr>
      <w:rPr>
        <w:rFonts w:hint="default"/>
        <w:lang w:val="it-IT" w:eastAsia="it-IT" w:bidi="it-IT"/>
      </w:rPr>
    </w:lvl>
    <w:lvl w:ilvl="5" w:tplc="EC505F00">
      <w:numFmt w:val="bullet"/>
      <w:lvlText w:val="•"/>
      <w:lvlJc w:val="left"/>
      <w:pPr>
        <w:ind w:left="5723" w:hanging="425"/>
      </w:pPr>
      <w:rPr>
        <w:rFonts w:hint="default"/>
        <w:lang w:val="it-IT" w:eastAsia="it-IT" w:bidi="it-IT"/>
      </w:rPr>
    </w:lvl>
    <w:lvl w:ilvl="6" w:tplc="F41445CC">
      <w:numFmt w:val="bullet"/>
      <w:lvlText w:val="•"/>
      <w:lvlJc w:val="left"/>
      <w:pPr>
        <w:ind w:left="6647" w:hanging="425"/>
      </w:pPr>
      <w:rPr>
        <w:rFonts w:hint="default"/>
        <w:lang w:val="it-IT" w:eastAsia="it-IT" w:bidi="it-IT"/>
      </w:rPr>
    </w:lvl>
    <w:lvl w:ilvl="7" w:tplc="1D1AE768">
      <w:numFmt w:val="bullet"/>
      <w:lvlText w:val="•"/>
      <w:lvlJc w:val="left"/>
      <w:pPr>
        <w:ind w:left="7572" w:hanging="425"/>
      </w:pPr>
      <w:rPr>
        <w:rFonts w:hint="default"/>
        <w:lang w:val="it-IT" w:eastAsia="it-IT" w:bidi="it-IT"/>
      </w:rPr>
    </w:lvl>
    <w:lvl w:ilvl="8" w:tplc="13ACE9EA">
      <w:numFmt w:val="bullet"/>
      <w:lvlText w:val="•"/>
      <w:lvlJc w:val="left"/>
      <w:pPr>
        <w:ind w:left="8497" w:hanging="425"/>
      </w:pPr>
      <w:rPr>
        <w:rFonts w:hint="default"/>
        <w:lang w:val="it-IT" w:eastAsia="it-IT" w:bidi="it-IT"/>
      </w:rPr>
    </w:lvl>
  </w:abstractNum>
  <w:abstractNum w:abstractNumId="18" w15:restartNumberingAfterBreak="0">
    <w:nsid w:val="44D57171"/>
    <w:multiLevelType w:val="multilevel"/>
    <w:tmpl w:val="ADC60212"/>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9" w15:restartNumberingAfterBreak="0">
    <w:nsid w:val="51E6270B"/>
    <w:multiLevelType w:val="multilevel"/>
    <w:tmpl w:val="7B04BBD6"/>
    <w:lvl w:ilvl="0">
      <w:start w:val="1"/>
      <w:numFmt w:val="bullet"/>
      <w:lvlText w:val=""/>
      <w:lvlJc w:val="left"/>
      <w:pPr>
        <w:tabs>
          <w:tab w:val="num" w:pos="720"/>
        </w:tabs>
        <w:ind w:left="720" w:hanging="360"/>
      </w:pPr>
      <w:rPr>
        <w:rFonts w:hint="default" w:ascii="Symbol" w:hAnsi="Symbol"/>
        <w:sz w:val="20"/>
      </w:rPr>
    </w:lvl>
    <w:lvl w:ilvl="1">
      <w:start w:val="1"/>
      <w:numFmt w:val="bullet"/>
      <w:lvlText w:val=""/>
      <w:lvlJc w:val="left"/>
      <w:pPr>
        <w:ind w:left="720" w:hanging="360"/>
      </w:pPr>
      <w:rPr>
        <w:rFonts w:hint="default" w:ascii="Wingdings" w:hAnsi="Wingdings"/>
        <w:color w:val="0070C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0" w15:restartNumberingAfterBreak="0">
    <w:nsid w:val="53147A53"/>
    <w:multiLevelType w:val="multilevel"/>
    <w:tmpl w:val="F0F8DE10"/>
    <w:lvl w:ilvl="0">
      <w:start w:val="1"/>
      <w:numFmt w:val="bullet"/>
      <w:lvlText w:val=""/>
      <w:lvlJc w:val="left"/>
      <w:pPr>
        <w:ind w:left="1068" w:hanging="360"/>
      </w:pPr>
      <w:rPr>
        <w:rFonts w:hint="default" w:ascii="Wingdings" w:hAnsi="Wingdings"/>
        <w:color w:val="0070C0"/>
      </w:rPr>
    </w:lvl>
    <w:lvl w:ilvl="1">
      <w:start w:val="6"/>
      <w:numFmt w:val="decimal"/>
      <w:isLgl/>
      <w:lvlText w:val="%1.%2"/>
      <w:lvlJc w:val="left"/>
      <w:pPr>
        <w:ind w:left="1800" w:hanging="720"/>
      </w:pPr>
      <w:rPr>
        <w:rFonts w:hint="default"/>
      </w:rPr>
    </w:lvl>
    <w:lvl w:ilvl="2">
      <w:start w:val="1"/>
      <w:numFmt w:val="decimal"/>
      <w:isLgl/>
      <w:lvlText w:val="%1.%2.%3"/>
      <w:lvlJc w:val="left"/>
      <w:pPr>
        <w:ind w:left="2172" w:hanging="720"/>
      </w:pPr>
      <w:rPr>
        <w:rFonts w:hint="default"/>
      </w:rPr>
    </w:lvl>
    <w:lvl w:ilvl="3">
      <w:start w:val="1"/>
      <w:numFmt w:val="decimal"/>
      <w:isLgl/>
      <w:lvlText w:val="%1.%2.%3.%4"/>
      <w:lvlJc w:val="left"/>
      <w:pPr>
        <w:ind w:left="2904" w:hanging="1080"/>
      </w:pPr>
      <w:rPr>
        <w:rFonts w:hint="default"/>
      </w:rPr>
    </w:lvl>
    <w:lvl w:ilvl="4">
      <w:start w:val="1"/>
      <w:numFmt w:val="decimal"/>
      <w:isLgl/>
      <w:lvlText w:val="%1.%2.%3.%4.%5"/>
      <w:lvlJc w:val="left"/>
      <w:pPr>
        <w:ind w:left="3636" w:hanging="1440"/>
      </w:pPr>
      <w:rPr>
        <w:rFonts w:hint="default"/>
      </w:rPr>
    </w:lvl>
    <w:lvl w:ilvl="5">
      <w:start w:val="1"/>
      <w:numFmt w:val="decimal"/>
      <w:isLgl/>
      <w:lvlText w:val="%1.%2.%3.%4.%5.%6"/>
      <w:lvlJc w:val="left"/>
      <w:pPr>
        <w:ind w:left="4368" w:hanging="1800"/>
      </w:pPr>
      <w:rPr>
        <w:rFonts w:hint="default"/>
      </w:rPr>
    </w:lvl>
    <w:lvl w:ilvl="6">
      <w:start w:val="1"/>
      <w:numFmt w:val="decimal"/>
      <w:isLgl/>
      <w:lvlText w:val="%1.%2.%3.%4.%5.%6.%7"/>
      <w:lvlJc w:val="left"/>
      <w:pPr>
        <w:ind w:left="4740" w:hanging="1800"/>
      </w:pPr>
      <w:rPr>
        <w:rFonts w:hint="default"/>
      </w:rPr>
    </w:lvl>
    <w:lvl w:ilvl="7">
      <w:start w:val="1"/>
      <w:numFmt w:val="decimal"/>
      <w:isLgl/>
      <w:lvlText w:val="%1.%2.%3.%4.%5.%6.%7.%8"/>
      <w:lvlJc w:val="left"/>
      <w:pPr>
        <w:ind w:left="5472" w:hanging="2160"/>
      </w:pPr>
      <w:rPr>
        <w:rFonts w:hint="default"/>
      </w:rPr>
    </w:lvl>
    <w:lvl w:ilvl="8">
      <w:start w:val="1"/>
      <w:numFmt w:val="decimal"/>
      <w:isLgl/>
      <w:lvlText w:val="%1.%2.%3.%4.%5.%6.%7.%8.%9"/>
      <w:lvlJc w:val="left"/>
      <w:pPr>
        <w:ind w:left="6204" w:hanging="2520"/>
      </w:pPr>
      <w:rPr>
        <w:rFonts w:hint="default"/>
      </w:rPr>
    </w:lvl>
  </w:abstractNum>
  <w:abstractNum w:abstractNumId="21" w15:restartNumberingAfterBreak="0">
    <w:nsid w:val="531B7180"/>
    <w:multiLevelType w:val="multilevel"/>
    <w:tmpl w:val="E9646812"/>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ascii="Calibri" w:hAnsi="Calibri" w:cs="Calibri"/>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2" w15:restartNumberingAfterBreak="0">
    <w:nsid w:val="542022C3"/>
    <w:multiLevelType w:val="hybridMultilevel"/>
    <w:tmpl w:val="74B0F5F0"/>
    <w:lvl w:ilvl="0" w:tplc="FFFFFFFF">
      <w:start w:val="1"/>
      <w:numFmt w:val="bullet"/>
      <w:lvlText w:val="•"/>
      <w:lvlJc w:val="left"/>
      <w:pPr>
        <w:ind w:left="720" w:hanging="360"/>
      </w:pPr>
      <w:rPr>
        <w:rFonts w:hint="default" w:ascii="Symbol" w:hAnsi="Symbol"/>
        <w:color w:val="0070C0"/>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3" w15:restartNumberingAfterBreak="0">
    <w:nsid w:val="574E0DE9"/>
    <w:multiLevelType w:val="hybridMultilevel"/>
    <w:tmpl w:val="A318672C"/>
    <w:lvl w:ilvl="0" w:tplc="6C9E4A94">
      <w:start w:val="1"/>
      <w:numFmt w:val="bullet"/>
      <w:lvlText w:val=""/>
      <w:lvlJc w:val="left"/>
      <w:pPr>
        <w:ind w:left="360" w:hanging="360"/>
      </w:pPr>
      <w:rPr>
        <w:rFonts w:hint="default" w:ascii="Wingdings" w:hAnsi="Wingdings"/>
        <w:color w:val="auto"/>
      </w:rPr>
    </w:lvl>
    <w:lvl w:ilvl="1" w:tplc="04100003" w:tentative="1">
      <w:start w:val="1"/>
      <w:numFmt w:val="bullet"/>
      <w:lvlText w:val="o"/>
      <w:lvlJc w:val="left"/>
      <w:pPr>
        <w:ind w:left="1080" w:hanging="360"/>
      </w:pPr>
      <w:rPr>
        <w:rFonts w:hint="default" w:ascii="Courier New" w:hAnsi="Courier New" w:cs="Courier New"/>
      </w:rPr>
    </w:lvl>
    <w:lvl w:ilvl="2" w:tplc="04100005" w:tentative="1">
      <w:start w:val="1"/>
      <w:numFmt w:val="bullet"/>
      <w:lvlText w:val=""/>
      <w:lvlJc w:val="left"/>
      <w:pPr>
        <w:ind w:left="1800" w:hanging="360"/>
      </w:pPr>
      <w:rPr>
        <w:rFonts w:hint="default" w:ascii="Wingdings" w:hAnsi="Wingdings"/>
      </w:rPr>
    </w:lvl>
    <w:lvl w:ilvl="3" w:tplc="04100001" w:tentative="1">
      <w:start w:val="1"/>
      <w:numFmt w:val="bullet"/>
      <w:lvlText w:val=""/>
      <w:lvlJc w:val="left"/>
      <w:pPr>
        <w:ind w:left="2520" w:hanging="360"/>
      </w:pPr>
      <w:rPr>
        <w:rFonts w:hint="default" w:ascii="Symbol" w:hAnsi="Symbol"/>
      </w:rPr>
    </w:lvl>
    <w:lvl w:ilvl="4" w:tplc="04100003" w:tentative="1">
      <w:start w:val="1"/>
      <w:numFmt w:val="bullet"/>
      <w:lvlText w:val="o"/>
      <w:lvlJc w:val="left"/>
      <w:pPr>
        <w:ind w:left="3240" w:hanging="360"/>
      </w:pPr>
      <w:rPr>
        <w:rFonts w:hint="default" w:ascii="Courier New" w:hAnsi="Courier New" w:cs="Courier New"/>
      </w:rPr>
    </w:lvl>
    <w:lvl w:ilvl="5" w:tplc="04100005" w:tentative="1">
      <w:start w:val="1"/>
      <w:numFmt w:val="bullet"/>
      <w:lvlText w:val=""/>
      <w:lvlJc w:val="left"/>
      <w:pPr>
        <w:ind w:left="3960" w:hanging="360"/>
      </w:pPr>
      <w:rPr>
        <w:rFonts w:hint="default" w:ascii="Wingdings" w:hAnsi="Wingdings"/>
      </w:rPr>
    </w:lvl>
    <w:lvl w:ilvl="6" w:tplc="04100001" w:tentative="1">
      <w:start w:val="1"/>
      <w:numFmt w:val="bullet"/>
      <w:lvlText w:val=""/>
      <w:lvlJc w:val="left"/>
      <w:pPr>
        <w:ind w:left="4680" w:hanging="360"/>
      </w:pPr>
      <w:rPr>
        <w:rFonts w:hint="default" w:ascii="Symbol" w:hAnsi="Symbol"/>
      </w:rPr>
    </w:lvl>
    <w:lvl w:ilvl="7" w:tplc="04100003" w:tentative="1">
      <w:start w:val="1"/>
      <w:numFmt w:val="bullet"/>
      <w:lvlText w:val="o"/>
      <w:lvlJc w:val="left"/>
      <w:pPr>
        <w:ind w:left="5400" w:hanging="360"/>
      </w:pPr>
      <w:rPr>
        <w:rFonts w:hint="default" w:ascii="Courier New" w:hAnsi="Courier New" w:cs="Courier New"/>
      </w:rPr>
    </w:lvl>
    <w:lvl w:ilvl="8" w:tplc="04100005" w:tentative="1">
      <w:start w:val="1"/>
      <w:numFmt w:val="bullet"/>
      <w:lvlText w:val=""/>
      <w:lvlJc w:val="left"/>
      <w:pPr>
        <w:ind w:left="6120" w:hanging="360"/>
      </w:pPr>
      <w:rPr>
        <w:rFonts w:hint="default" w:ascii="Wingdings" w:hAnsi="Wingdings"/>
      </w:rPr>
    </w:lvl>
  </w:abstractNum>
  <w:abstractNum w:abstractNumId="24" w15:restartNumberingAfterBreak="0">
    <w:nsid w:val="57760A56"/>
    <w:multiLevelType w:val="hybridMultilevel"/>
    <w:tmpl w:val="3C4A3EFE"/>
    <w:lvl w:ilvl="0" w:tplc="2034BE84">
      <w:start w:val="1"/>
      <w:numFmt w:val="bullet"/>
      <w:lvlText w:val=""/>
      <w:lvlJc w:val="left"/>
      <w:pPr>
        <w:ind w:left="720" w:hanging="360"/>
      </w:pPr>
      <w:rPr>
        <w:rFonts w:hint="default" w:ascii="Wingdings" w:hAnsi="Wingdings"/>
        <w:color w:val="0070C0"/>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5" w15:restartNumberingAfterBreak="0">
    <w:nsid w:val="58382301"/>
    <w:multiLevelType w:val="hybridMultilevel"/>
    <w:tmpl w:val="C4E2C9A0"/>
    <w:lvl w:ilvl="0" w:tplc="96CCBF60">
      <w:start w:val="1"/>
      <w:numFmt w:val="bullet"/>
      <w:lvlText w:val=""/>
      <w:lvlJc w:val="left"/>
      <w:pPr>
        <w:ind w:left="720" w:hanging="360"/>
      </w:pPr>
      <w:rPr>
        <w:rFonts w:hint="default" w:ascii="Wingdings" w:hAnsi="Wingdings"/>
        <w:color w:val="0070C0"/>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6" w15:restartNumberingAfterBreak="0">
    <w:nsid w:val="587C4EB1"/>
    <w:multiLevelType w:val="multilevel"/>
    <w:tmpl w:val="0B1EE9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color w:val="215E99"/>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5A577F07"/>
    <w:multiLevelType w:val="hybridMultilevel"/>
    <w:tmpl w:val="26BC55EE"/>
    <w:lvl w:ilvl="0" w:tplc="0BBA28D8">
      <w:start w:val="1"/>
      <w:numFmt w:val="bullet"/>
      <w:lvlText w:val=""/>
      <w:lvlJc w:val="left"/>
      <w:pPr>
        <w:ind w:left="360" w:hanging="360"/>
      </w:pPr>
      <w:rPr>
        <w:rFonts w:hint="default" w:ascii="Wingdings" w:hAnsi="Wingdings"/>
        <w:color w:val="0070C0"/>
      </w:rPr>
    </w:lvl>
    <w:lvl w:ilvl="1" w:tplc="04100003" w:tentative="1">
      <w:start w:val="1"/>
      <w:numFmt w:val="bullet"/>
      <w:lvlText w:val="o"/>
      <w:lvlJc w:val="left"/>
      <w:pPr>
        <w:ind w:left="1080" w:hanging="360"/>
      </w:pPr>
      <w:rPr>
        <w:rFonts w:hint="default" w:ascii="Courier New" w:hAnsi="Courier New" w:cs="Courier New"/>
      </w:rPr>
    </w:lvl>
    <w:lvl w:ilvl="2" w:tplc="04100005" w:tentative="1">
      <w:start w:val="1"/>
      <w:numFmt w:val="bullet"/>
      <w:lvlText w:val=""/>
      <w:lvlJc w:val="left"/>
      <w:pPr>
        <w:ind w:left="1800" w:hanging="360"/>
      </w:pPr>
      <w:rPr>
        <w:rFonts w:hint="default" w:ascii="Wingdings" w:hAnsi="Wingdings"/>
      </w:rPr>
    </w:lvl>
    <w:lvl w:ilvl="3" w:tplc="04100001" w:tentative="1">
      <w:start w:val="1"/>
      <w:numFmt w:val="bullet"/>
      <w:lvlText w:val=""/>
      <w:lvlJc w:val="left"/>
      <w:pPr>
        <w:ind w:left="2520" w:hanging="360"/>
      </w:pPr>
      <w:rPr>
        <w:rFonts w:hint="default" w:ascii="Symbol" w:hAnsi="Symbol"/>
      </w:rPr>
    </w:lvl>
    <w:lvl w:ilvl="4" w:tplc="04100003" w:tentative="1">
      <w:start w:val="1"/>
      <w:numFmt w:val="bullet"/>
      <w:lvlText w:val="o"/>
      <w:lvlJc w:val="left"/>
      <w:pPr>
        <w:ind w:left="3240" w:hanging="360"/>
      </w:pPr>
      <w:rPr>
        <w:rFonts w:hint="default" w:ascii="Courier New" w:hAnsi="Courier New" w:cs="Courier New"/>
      </w:rPr>
    </w:lvl>
    <w:lvl w:ilvl="5" w:tplc="04100005" w:tentative="1">
      <w:start w:val="1"/>
      <w:numFmt w:val="bullet"/>
      <w:lvlText w:val=""/>
      <w:lvlJc w:val="left"/>
      <w:pPr>
        <w:ind w:left="3960" w:hanging="360"/>
      </w:pPr>
      <w:rPr>
        <w:rFonts w:hint="default" w:ascii="Wingdings" w:hAnsi="Wingdings"/>
      </w:rPr>
    </w:lvl>
    <w:lvl w:ilvl="6" w:tplc="04100001" w:tentative="1">
      <w:start w:val="1"/>
      <w:numFmt w:val="bullet"/>
      <w:lvlText w:val=""/>
      <w:lvlJc w:val="left"/>
      <w:pPr>
        <w:ind w:left="4680" w:hanging="360"/>
      </w:pPr>
      <w:rPr>
        <w:rFonts w:hint="default" w:ascii="Symbol" w:hAnsi="Symbol"/>
      </w:rPr>
    </w:lvl>
    <w:lvl w:ilvl="7" w:tplc="04100003" w:tentative="1">
      <w:start w:val="1"/>
      <w:numFmt w:val="bullet"/>
      <w:lvlText w:val="o"/>
      <w:lvlJc w:val="left"/>
      <w:pPr>
        <w:ind w:left="5400" w:hanging="360"/>
      </w:pPr>
      <w:rPr>
        <w:rFonts w:hint="default" w:ascii="Courier New" w:hAnsi="Courier New" w:cs="Courier New"/>
      </w:rPr>
    </w:lvl>
    <w:lvl w:ilvl="8" w:tplc="04100005" w:tentative="1">
      <w:start w:val="1"/>
      <w:numFmt w:val="bullet"/>
      <w:lvlText w:val=""/>
      <w:lvlJc w:val="left"/>
      <w:pPr>
        <w:ind w:left="6120" w:hanging="360"/>
      </w:pPr>
      <w:rPr>
        <w:rFonts w:hint="default" w:ascii="Wingdings" w:hAnsi="Wingdings"/>
      </w:rPr>
    </w:lvl>
  </w:abstractNum>
  <w:abstractNum w:abstractNumId="28" w15:restartNumberingAfterBreak="0">
    <w:nsid w:val="5C5C05BA"/>
    <w:multiLevelType w:val="multilevel"/>
    <w:tmpl w:val="38266EBE"/>
    <w:lvl w:ilvl="0">
      <w:start w:val="1"/>
      <w:numFmt w:val="bullet"/>
      <w:lvlText w:val=""/>
      <w:lvlJc w:val="left"/>
      <w:pPr>
        <w:tabs>
          <w:tab w:val="num" w:pos="720"/>
        </w:tabs>
        <w:ind w:left="720" w:hanging="360"/>
      </w:pPr>
      <w:rPr>
        <w:rFonts w:hint="default" w:ascii="Wingdings" w:hAnsi="Wingdings"/>
        <w:color w:val="0070C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60446B7C"/>
    <w:multiLevelType w:val="hybridMultilevel"/>
    <w:tmpl w:val="D5662722"/>
    <w:lvl w:ilvl="0" w:tplc="A70CE7BA">
      <w:start w:val="1"/>
      <w:numFmt w:val="bullet"/>
      <w:lvlText w:val=""/>
      <w:lvlJc w:val="left"/>
      <w:pPr>
        <w:ind w:left="720" w:hanging="360"/>
      </w:pPr>
      <w:rPr>
        <w:rFonts w:hint="default" w:ascii="Wingdings" w:hAnsi="Wingdings"/>
        <w:color w:val="0070C0"/>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0" w15:restartNumberingAfterBreak="0">
    <w:nsid w:val="62C48E0E"/>
    <w:multiLevelType w:val="hybridMultilevel"/>
    <w:tmpl w:val="EACE6750"/>
    <w:lvl w:ilvl="0" w:tplc="FD3ED7AA">
      <w:start w:val="1"/>
      <w:numFmt w:val="bullet"/>
      <w:lvlText w:val=""/>
      <w:lvlJc w:val="left"/>
      <w:pPr>
        <w:ind w:left="720" w:hanging="360"/>
      </w:pPr>
      <w:rPr>
        <w:rFonts w:hint="default" w:ascii="Symbol" w:hAnsi="Symbol"/>
      </w:rPr>
    </w:lvl>
    <w:lvl w:ilvl="1" w:tplc="2CA070E4">
      <w:start w:val="1"/>
      <w:numFmt w:val="bullet"/>
      <w:lvlText w:val="o"/>
      <w:lvlJc w:val="left"/>
      <w:pPr>
        <w:ind w:left="1440" w:hanging="360"/>
      </w:pPr>
      <w:rPr>
        <w:rFonts w:hint="default" w:ascii="Courier New" w:hAnsi="Courier New"/>
      </w:rPr>
    </w:lvl>
    <w:lvl w:ilvl="2" w:tplc="5AD047AC">
      <w:start w:val="1"/>
      <w:numFmt w:val="bullet"/>
      <w:lvlText w:val=""/>
      <w:lvlJc w:val="left"/>
      <w:pPr>
        <w:ind w:left="2160" w:hanging="360"/>
      </w:pPr>
      <w:rPr>
        <w:rFonts w:hint="default" w:ascii="Wingdings" w:hAnsi="Wingdings"/>
      </w:rPr>
    </w:lvl>
    <w:lvl w:ilvl="3" w:tplc="0746634C">
      <w:start w:val="1"/>
      <w:numFmt w:val="bullet"/>
      <w:lvlText w:val=""/>
      <w:lvlJc w:val="left"/>
      <w:pPr>
        <w:ind w:left="2880" w:hanging="360"/>
      </w:pPr>
      <w:rPr>
        <w:rFonts w:hint="default" w:ascii="Symbol" w:hAnsi="Symbol"/>
      </w:rPr>
    </w:lvl>
    <w:lvl w:ilvl="4" w:tplc="F808079C">
      <w:start w:val="1"/>
      <w:numFmt w:val="bullet"/>
      <w:lvlText w:val="o"/>
      <w:lvlJc w:val="left"/>
      <w:pPr>
        <w:ind w:left="3600" w:hanging="360"/>
      </w:pPr>
      <w:rPr>
        <w:rFonts w:hint="default" w:ascii="Courier New" w:hAnsi="Courier New"/>
      </w:rPr>
    </w:lvl>
    <w:lvl w:ilvl="5" w:tplc="687E0DD4">
      <w:start w:val="1"/>
      <w:numFmt w:val="bullet"/>
      <w:lvlText w:val=""/>
      <w:lvlJc w:val="left"/>
      <w:pPr>
        <w:ind w:left="4320" w:hanging="360"/>
      </w:pPr>
      <w:rPr>
        <w:rFonts w:hint="default" w:ascii="Wingdings" w:hAnsi="Wingdings"/>
      </w:rPr>
    </w:lvl>
    <w:lvl w:ilvl="6" w:tplc="BD48F438">
      <w:start w:val="1"/>
      <w:numFmt w:val="bullet"/>
      <w:lvlText w:val=""/>
      <w:lvlJc w:val="left"/>
      <w:pPr>
        <w:ind w:left="5040" w:hanging="360"/>
      </w:pPr>
      <w:rPr>
        <w:rFonts w:hint="default" w:ascii="Symbol" w:hAnsi="Symbol"/>
      </w:rPr>
    </w:lvl>
    <w:lvl w:ilvl="7" w:tplc="A4C8104A">
      <w:start w:val="1"/>
      <w:numFmt w:val="bullet"/>
      <w:lvlText w:val="o"/>
      <w:lvlJc w:val="left"/>
      <w:pPr>
        <w:ind w:left="5760" w:hanging="360"/>
      </w:pPr>
      <w:rPr>
        <w:rFonts w:hint="default" w:ascii="Courier New" w:hAnsi="Courier New"/>
      </w:rPr>
    </w:lvl>
    <w:lvl w:ilvl="8" w:tplc="5AD87BCA">
      <w:start w:val="1"/>
      <w:numFmt w:val="bullet"/>
      <w:lvlText w:val=""/>
      <w:lvlJc w:val="left"/>
      <w:pPr>
        <w:ind w:left="6480" w:hanging="360"/>
      </w:pPr>
      <w:rPr>
        <w:rFonts w:hint="default" w:ascii="Wingdings" w:hAnsi="Wingdings"/>
      </w:rPr>
    </w:lvl>
  </w:abstractNum>
  <w:abstractNum w:abstractNumId="31" w15:restartNumberingAfterBreak="0">
    <w:nsid w:val="650CE140"/>
    <w:multiLevelType w:val="hybridMultilevel"/>
    <w:tmpl w:val="7DEAF604"/>
    <w:lvl w:ilvl="0" w:tplc="ADAE7A7E">
      <w:start w:val="1"/>
      <w:numFmt w:val="bullet"/>
      <w:lvlText w:val=""/>
      <w:lvlJc w:val="left"/>
      <w:pPr>
        <w:ind w:left="720" w:hanging="360"/>
      </w:pPr>
      <w:rPr>
        <w:rFonts w:hint="default" w:ascii="Symbol" w:hAnsi="Symbol"/>
      </w:rPr>
    </w:lvl>
    <w:lvl w:ilvl="1" w:tplc="BAE8C472">
      <w:start w:val="1"/>
      <w:numFmt w:val="bullet"/>
      <w:lvlText w:val="o"/>
      <w:lvlJc w:val="left"/>
      <w:pPr>
        <w:ind w:left="1440" w:hanging="360"/>
      </w:pPr>
      <w:rPr>
        <w:rFonts w:hint="default" w:ascii="Courier New" w:hAnsi="Courier New"/>
      </w:rPr>
    </w:lvl>
    <w:lvl w:ilvl="2" w:tplc="DBD07A4C">
      <w:start w:val="1"/>
      <w:numFmt w:val="bullet"/>
      <w:lvlText w:val=""/>
      <w:lvlJc w:val="left"/>
      <w:pPr>
        <w:ind w:left="2160" w:hanging="360"/>
      </w:pPr>
      <w:rPr>
        <w:rFonts w:hint="default" w:ascii="Wingdings" w:hAnsi="Wingdings"/>
      </w:rPr>
    </w:lvl>
    <w:lvl w:ilvl="3" w:tplc="4A4EE540">
      <w:start w:val="1"/>
      <w:numFmt w:val="bullet"/>
      <w:lvlText w:val=""/>
      <w:lvlJc w:val="left"/>
      <w:pPr>
        <w:ind w:left="2880" w:hanging="360"/>
      </w:pPr>
      <w:rPr>
        <w:rFonts w:hint="default" w:ascii="Symbol" w:hAnsi="Symbol"/>
      </w:rPr>
    </w:lvl>
    <w:lvl w:ilvl="4" w:tplc="8D4C1032">
      <w:start w:val="1"/>
      <w:numFmt w:val="bullet"/>
      <w:lvlText w:val="o"/>
      <w:lvlJc w:val="left"/>
      <w:pPr>
        <w:ind w:left="3600" w:hanging="360"/>
      </w:pPr>
      <w:rPr>
        <w:rFonts w:hint="default" w:ascii="Courier New" w:hAnsi="Courier New"/>
      </w:rPr>
    </w:lvl>
    <w:lvl w:ilvl="5" w:tplc="B97A19A8">
      <w:start w:val="1"/>
      <w:numFmt w:val="bullet"/>
      <w:lvlText w:val=""/>
      <w:lvlJc w:val="left"/>
      <w:pPr>
        <w:ind w:left="4320" w:hanging="360"/>
      </w:pPr>
      <w:rPr>
        <w:rFonts w:hint="default" w:ascii="Wingdings" w:hAnsi="Wingdings"/>
      </w:rPr>
    </w:lvl>
    <w:lvl w:ilvl="6" w:tplc="AC98DDA8">
      <w:start w:val="1"/>
      <w:numFmt w:val="bullet"/>
      <w:lvlText w:val=""/>
      <w:lvlJc w:val="left"/>
      <w:pPr>
        <w:ind w:left="5040" w:hanging="360"/>
      </w:pPr>
      <w:rPr>
        <w:rFonts w:hint="default" w:ascii="Symbol" w:hAnsi="Symbol"/>
      </w:rPr>
    </w:lvl>
    <w:lvl w:ilvl="7" w:tplc="060EADAE">
      <w:start w:val="1"/>
      <w:numFmt w:val="bullet"/>
      <w:lvlText w:val="o"/>
      <w:lvlJc w:val="left"/>
      <w:pPr>
        <w:ind w:left="5760" w:hanging="360"/>
      </w:pPr>
      <w:rPr>
        <w:rFonts w:hint="default" w:ascii="Courier New" w:hAnsi="Courier New"/>
      </w:rPr>
    </w:lvl>
    <w:lvl w:ilvl="8" w:tplc="6A887846">
      <w:start w:val="1"/>
      <w:numFmt w:val="bullet"/>
      <w:lvlText w:val=""/>
      <w:lvlJc w:val="left"/>
      <w:pPr>
        <w:ind w:left="6480" w:hanging="360"/>
      </w:pPr>
      <w:rPr>
        <w:rFonts w:hint="default" w:ascii="Wingdings" w:hAnsi="Wingdings"/>
      </w:rPr>
    </w:lvl>
  </w:abstractNum>
  <w:abstractNum w:abstractNumId="32" w15:restartNumberingAfterBreak="0">
    <w:nsid w:val="66469B2A"/>
    <w:multiLevelType w:val="hybridMultilevel"/>
    <w:tmpl w:val="580419AE"/>
    <w:lvl w:ilvl="0" w:tplc="9718FA30">
      <w:start w:val="1"/>
      <w:numFmt w:val="bullet"/>
      <w:lvlText w:val="-"/>
      <w:lvlJc w:val="left"/>
      <w:pPr>
        <w:ind w:left="1068" w:hanging="360"/>
      </w:pPr>
      <w:rPr>
        <w:rFonts w:hint="default" w:ascii="Aptos" w:hAnsi="Aptos"/>
      </w:rPr>
    </w:lvl>
    <w:lvl w:ilvl="1" w:tplc="C164B85E">
      <w:start w:val="1"/>
      <w:numFmt w:val="bullet"/>
      <w:lvlText w:val="o"/>
      <w:lvlJc w:val="left"/>
      <w:pPr>
        <w:ind w:left="1788" w:hanging="360"/>
      </w:pPr>
      <w:rPr>
        <w:rFonts w:hint="default" w:ascii="Courier New" w:hAnsi="Courier New"/>
      </w:rPr>
    </w:lvl>
    <w:lvl w:ilvl="2" w:tplc="7E00378A">
      <w:start w:val="1"/>
      <w:numFmt w:val="bullet"/>
      <w:lvlText w:val=""/>
      <w:lvlJc w:val="left"/>
      <w:pPr>
        <w:ind w:left="2508" w:hanging="360"/>
      </w:pPr>
      <w:rPr>
        <w:rFonts w:hint="default" w:ascii="Wingdings" w:hAnsi="Wingdings"/>
      </w:rPr>
    </w:lvl>
    <w:lvl w:ilvl="3" w:tplc="FF3058EA">
      <w:start w:val="1"/>
      <w:numFmt w:val="bullet"/>
      <w:lvlText w:val=""/>
      <w:lvlJc w:val="left"/>
      <w:pPr>
        <w:ind w:left="3228" w:hanging="360"/>
      </w:pPr>
      <w:rPr>
        <w:rFonts w:hint="default" w:ascii="Symbol" w:hAnsi="Symbol"/>
      </w:rPr>
    </w:lvl>
    <w:lvl w:ilvl="4" w:tplc="7146EAB0">
      <w:start w:val="1"/>
      <w:numFmt w:val="bullet"/>
      <w:lvlText w:val="o"/>
      <w:lvlJc w:val="left"/>
      <w:pPr>
        <w:ind w:left="3948" w:hanging="360"/>
      </w:pPr>
      <w:rPr>
        <w:rFonts w:hint="default" w:ascii="Courier New" w:hAnsi="Courier New"/>
      </w:rPr>
    </w:lvl>
    <w:lvl w:ilvl="5" w:tplc="22044942">
      <w:start w:val="1"/>
      <w:numFmt w:val="bullet"/>
      <w:lvlText w:val=""/>
      <w:lvlJc w:val="left"/>
      <w:pPr>
        <w:ind w:left="4668" w:hanging="360"/>
      </w:pPr>
      <w:rPr>
        <w:rFonts w:hint="default" w:ascii="Wingdings" w:hAnsi="Wingdings"/>
      </w:rPr>
    </w:lvl>
    <w:lvl w:ilvl="6" w:tplc="CCD82334">
      <w:start w:val="1"/>
      <w:numFmt w:val="bullet"/>
      <w:lvlText w:val=""/>
      <w:lvlJc w:val="left"/>
      <w:pPr>
        <w:ind w:left="5388" w:hanging="360"/>
      </w:pPr>
      <w:rPr>
        <w:rFonts w:hint="default" w:ascii="Symbol" w:hAnsi="Symbol"/>
      </w:rPr>
    </w:lvl>
    <w:lvl w:ilvl="7" w:tplc="F3B63588">
      <w:start w:val="1"/>
      <w:numFmt w:val="bullet"/>
      <w:lvlText w:val="o"/>
      <w:lvlJc w:val="left"/>
      <w:pPr>
        <w:ind w:left="6108" w:hanging="360"/>
      </w:pPr>
      <w:rPr>
        <w:rFonts w:hint="default" w:ascii="Courier New" w:hAnsi="Courier New"/>
      </w:rPr>
    </w:lvl>
    <w:lvl w:ilvl="8" w:tplc="1E2CF01C">
      <w:start w:val="1"/>
      <w:numFmt w:val="bullet"/>
      <w:lvlText w:val=""/>
      <w:lvlJc w:val="left"/>
      <w:pPr>
        <w:ind w:left="6828" w:hanging="360"/>
      </w:pPr>
      <w:rPr>
        <w:rFonts w:hint="default" w:ascii="Wingdings" w:hAnsi="Wingdings"/>
      </w:rPr>
    </w:lvl>
  </w:abstractNum>
  <w:abstractNum w:abstractNumId="33" w15:restartNumberingAfterBreak="0">
    <w:nsid w:val="66DB3904"/>
    <w:multiLevelType w:val="multilevel"/>
    <w:tmpl w:val="4344DBCC"/>
    <w:lvl w:ilvl="0">
      <w:start w:val="1"/>
      <w:numFmt w:val="bullet"/>
      <w:lvlText w:val=""/>
      <w:lvlJc w:val="left"/>
      <w:pPr>
        <w:tabs>
          <w:tab w:val="num" w:pos="720"/>
        </w:tabs>
        <w:ind w:left="720" w:hanging="360"/>
      </w:pPr>
      <w:rPr>
        <w:rFonts w:hint="default" w:ascii="Wingdings" w:hAnsi="Wingdings"/>
        <w:color w:val="0070C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6C4447F3"/>
    <w:multiLevelType w:val="hybridMultilevel"/>
    <w:tmpl w:val="E1CE4414"/>
    <w:lvl w:ilvl="0" w:tplc="54524038">
      <w:start w:val="1"/>
      <w:numFmt w:val="bullet"/>
      <w:lvlText w:val=""/>
      <w:lvlJc w:val="left"/>
      <w:pPr>
        <w:ind w:left="720" w:hanging="360"/>
      </w:pPr>
      <w:rPr>
        <w:rFonts w:hint="default" w:ascii="Wingdings" w:hAnsi="Wingdings"/>
        <w:color w:val="0070C0"/>
      </w:rPr>
    </w:lvl>
    <w:lvl w:ilvl="1" w:tplc="FFFFFFFF">
      <w:start w:val="1"/>
      <w:numFmt w:val="bullet"/>
      <w:lvlText w:val="o"/>
      <w:lvlJc w:val="left"/>
      <w:pPr>
        <w:ind w:left="1440" w:hanging="360"/>
      </w:pPr>
      <w:rPr>
        <w:rFonts w:hint="default" w:ascii="Courier New" w:hAnsi="Courier New" w:cs="Courier New"/>
      </w:rPr>
    </w:lvl>
    <w:lvl w:ilvl="2" w:tplc="361C471C">
      <w:numFmt w:val="bullet"/>
      <w:lvlText w:val="-"/>
      <w:lvlJc w:val="left"/>
      <w:pPr>
        <w:ind w:left="2160" w:hanging="360"/>
      </w:pPr>
      <w:rPr>
        <w:rFonts w:hint="default" w:ascii="Calibri" w:hAnsi="Calibri" w:eastAsia="Times New Roman" w:cs="Calibri"/>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35" w15:restartNumberingAfterBreak="0">
    <w:nsid w:val="6FC76779"/>
    <w:multiLevelType w:val="hybridMultilevel"/>
    <w:tmpl w:val="920AF726"/>
    <w:lvl w:ilvl="0" w:tplc="32FEB466">
      <w:start w:val="1"/>
      <w:numFmt w:val="bullet"/>
      <w:lvlText w:val=""/>
      <w:lvlJc w:val="left"/>
      <w:pPr>
        <w:ind w:left="720" w:hanging="360"/>
      </w:pPr>
      <w:rPr>
        <w:rFonts w:hint="default" w:ascii="Wingdings" w:hAnsi="Wingdings"/>
        <w:color w:val="0070C0"/>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36" w15:restartNumberingAfterBreak="0">
    <w:nsid w:val="709A01CB"/>
    <w:multiLevelType w:val="hybridMultilevel"/>
    <w:tmpl w:val="08FAD62E"/>
    <w:lvl w:ilvl="0" w:tplc="59F81598">
      <w:start w:val="1"/>
      <w:numFmt w:val="bullet"/>
      <w:lvlText w:val=""/>
      <w:lvlJc w:val="left"/>
      <w:pPr>
        <w:ind w:left="720" w:hanging="360"/>
      </w:pPr>
      <w:rPr>
        <w:rFonts w:hint="default" w:ascii="Wingdings" w:hAnsi="Wingdings"/>
        <w:color w:val="0070C0"/>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7" w15:restartNumberingAfterBreak="0">
    <w:nsid w:val="70B47314"/>
    <w:multiLevelType w:val="hybridMultilevel"/>
    <w:tmpl w:val="581E1210"/>
    <w:lvl w:ilvl="0" w:tplc="2568806E">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72674CD7"/>
    <w:multiLevelType w:val="hybridMultilevel"/>
    <w:tmpl w:val="7930B3CE"/>
    <w:lvl w:ilvl="0" w:tplc="638455B6">
      <w:start w:val="1"/>
      <w:numFmt w:val="bullet"/>
      <w:lvlText w:val=""/>
      <w:lvlJc w:val="left"/>
      <w:pPr>
        <w:ind w:left="720" w:hanging="360"/>
      </w:pPr>
      <w:rPr>
        <w:rFonts w:hint="default" w:ascii="Symbol" w:hAnsi="Symbol"/>
      </w:rPr>
    </w:lvl>
    <w:lvl w:ilvl="1" w:tplc="8CBC83D0">
      <w:start w:val="1"/>
      <w:numFmt w:val="bullet"/>
      <w:lvlText w:val="o"/>
      <w:lvlJc w:val="left"/>
      <w:pPr>
        <w:ind w:left="1440" w:hanging="360"/>
      </w:pPr>
      <w:rPr>
        <w:rFonts w:hint="default" w:ascii="Courier New" w:hAnsi="Courier New"/>
      </w:rPr>
    </w:lvl>
    <w:lvl w:ilvl="2" w:tplc="490CAAD6">
      <w:start w:val="1"/>
      <w:numFmt w:val="bullet"/>
      <w:lvlText w:val=""/>
      <w:lvlJc w:val="left"/>
      <w:pPr>
        <w:ind w:left="2160" w:hanging="360"/>
      </w:pPr>
      <w:rPr>
        <w:rFonts w:hint="default" w:ascii="Wingdings" w:hAnsi="Wingdings"/>
      </w:rPr>
    </w:lvl>
    <w:lvl w:ilvl="3" w:tplc="6DAA90A0">
      <w:start w:val="1"/>
      <w:numFmt w:val="bullet"/>
      <w:lvlText w:val=""/>
      <w:lvlJc w:val="left"/>
      <w:pPr>
        <w:ind w:left="2880" w:hanging="360"/>
      </w:pPr>
      <w:rPr>
        <w:rFonts w:hint="default" w:ascii="Symbol" w:hAnsi="Symbol"/>
      </w:rPr>
    </w:lvl>
    <w:lvl w:ilvl="4" w:tplc="C994E334">
      <w:start w:val="1"/>
      <w:numFmt w:val="bullet"/>
      <w:lvlText w:val="o"/>
      <w:lvlJc w:val="left"/>
      <w:pPr>
        <w:ind w:left="3600" w:hanging="360"/>
      </w:pPr>
      <w:rPr>
        <w:rFonts w:hint="default" w:ascii="Courier New" w:hAnsi="Courier New"/>
      </w:rPr>
    </w:lvl>
    <w:lvl w:ilvl="5" w:tplc="D72C5B16">
      <w:start w:val="1"/>
      <w:numFmt w:val="bullet"/>
      <w:lvlText w:val=""/>
      <w:lvlJc w:val="left"/>
      <w:pPr>
        <w:ind w:left="4320" w:hanging="360"/>
      </w:pPr>
      <w:rPr>
        <w:rFonts w:hint="default" w:ascii="Wingdings" w:hAnsi="Wingdings"/>
      </w:rPr>
    </w:lvl>
    <w:lvl w:ilvl="6" w:tplc="CA722834">
      <w:start w:val="1"/>
      <w:numFmt w:val="bullet"/>
      <w:lvlText w:val=""/>
      <w:lvlJc w:val="left"/>
      <w:pPr>
        <w:ind w:left="5040" w:hanging="360"/>
      </w:pPr>
      <w:rPr>
        <w:rFonts w:hint="default" w:ascii="Symbol" w:hAnsi="Symbol"/>
      </w:rPr>
    </w:lvl>
    <w:lvl w:ilvl="7" w:tplc="C7FEF458">
      <w:start w:val="1"/>
      <w:numFmt w:val="bullet"/>
      <w:lvlText w:val="o"/>
      <w:lvlJc w:val="left"/>
      <w:pPr>
        <w:ind w:left="5760" w:hanging="360"/>
      </w:pPr>
      <w:rPr>
        <w:rFonts w:hint="default" w:ascii="Courier New" w:hAnsi="Courier New"/>
      </w:rPr>
    </w:lvl>
    <w:lvl w:ilvl="8" w:tplc="66EA7ABE">
      <w:start w:val="1"/>
      <w:numFmt w:val="bullet"/>
      <w:lvlText w:val=""/>
      <w:lvlJc w:val="left"/>
      <w:pPr>
        <w:ind w:left="6480" w:hanging="360"/>
      </w:pPr>
      <w:rPr>
        <w:rFonts w:hint="default" w:ascii="Wingdings" w:hAnsi="Wingdings"/>
      </w:rPr>
    </w:lvl>
  </w:abstractNum>
  <w:abstractNum w:abstractNumId="39" w15:restartNumberingAfterBreak="0">
    <w:nsid w:val="759F28DB"/>
    <w:multiLevelType w:val="hybridMultilevel"/>
    <w:tmpl w:val="B7C231DC"/>
    <w:lvl w:ilvl="0" w:tplc="4B36EF38">
      <w:start w:val="1"/>
      <w:numFmt w:val="bullet"/>
      <w:lvlText w:val=""/>
      <w:lvlJc w:val="left"/>
      <w:pPr>
        <w:ind w:left="720" w:hanging="360"/>
      </w:pPr>
      <w:rPr>
        <w:rFonts w:hint="default" w:ascii="Wingdings" w:hAnsi="Wingdings"/>
        <w:color w:val="0070C0"/>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40" w15:restartNumberingAfterBreak="0">
    <w:nsid w:val="79E778B8"/>
    <w:multiLevelType w:val="hybridMultilevel"/>
    <w:tmpl w:val="05B44176"/>
    <w:lvl w:ilvl="0" w:tplc="C8E213B2">
      <w:start w:val="1"/>
      <w:numFmt w:val="bullet"/>
      <w:lvlText w:val=""/>
      <w:lvlJc w:val="left"/>
      <w:pPr>
        <w:ind w:left="786" w:hanging="360"/>
      </w:pPr>
      <w:rPr>
        <w:rFonts w:hint="default" w:ascii="Wingdings" w:hAnsi="Wingdings"/>
        <w:color w:val="0070C0"/>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41" w15:restartNumberingAfterBreak="0">
    <w:nsid w:val="7D724C93"/>
    <w:multiLevelType w:val="hybridMultilevel"/>
    <w:tmpl w:val="D8F834F6"/>
    <w:lvl w:ilvl="0" w:tplc="24C4BC90">
      <w:start w:val="1"/>
      <w:numFmt w:val="bullet"/>
      <w:lvlText w:val=""/>
      <w:lvlJc w:val="left"/>
      <w:pPr>
        <w:ind w:left="720" w:hanging="360"/>
      </w:pPr>
      <w:rPr>
        <w:rFonts w:hint="default" w:ascii="Wingdings" w:hAnsi="Wingdings"/>
        <w:color w:val="0070C0"/>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42" w15:restartNumberingAfterBreak="0">
    <w:nsid w:val="7DC05E52"/>
    <w:multiLevelType w:val="hybridMultilevel"/>
    <w:tmpl w:val="87E49750"/>
    <w:lvl w:ilvl="0" w:tplc="720C95CC">
      <w:start w:val="1"/>
      <w:numFmt w:val="bullet"/>
      <w:lvlText w:val=""/>
      <w:lvlJc w:val="left"/>
      <w:pPr>
        <w:ind w:left="720" w:hanging="360"/>
      </w:pPr>
      <w:rPr>
        <w:rFonts w:hint="default" w:ascii="Wingdings" w:hAnsi="Wingdings"/>
      </w:rPr>
    </w:lvl>
    <w:lvl w:ilvl="1" w:tplc="62A264D4">
      <w:start w:val="1"/>
      <w:numFmt w:val="bullet"/>
      <w:lvlText w:val="o"/>
      <w:lvlJc w:val="left"/>
      <w:pPr>
        <w:ind w:left="1440" w:hanging="360"/>
      </w:pPr>
      <w:rPr>
        <w:rFonts w:hint="default" w:ascii="Courier New" w:hAnsi="Courier New"/>
      </w:rPr>
    </w:lvl>
    <w:lvl w:ilvl="2" w:tplc="975C4542">
      <w:start w:val="1"/>
      <w:numFmt w:val="bullet"/>
      <w:lvlText w:val=""/>
      <w:lvlJc w:val="left"/>
      <w:pPr>
        <w:ind w:left="2160" w:hanging="360"/>
      </w:pPr>
      <w:rPr>
        <w:rFonts w:hint="default" w:ascii="Wingdings" w:hAnsi="Wingdings"/>
      </w:rPr>
    </w:lvl>
    <w:lvl w:ilvl="3" w:tplc="85D6DDBE">
      <w:start w:val="1"/>
      <w:numFmt w:val="bullet"/>
      <w:lvlText w:val=""/>
      <w:lvlJc w:val="left"/>
      <w:pPr>
        <w:ind w:left="2880" w:hanging="360"/>
      </w:pPr>
      <w:rPr>
        <w:rFonts w:hint="default" w:ascii="Symbol" w:hAnsi="Symbol"/>
      </w:rPr>
    </w:lvl>
    <w:lvl w:ilvl="4" w:tplc="524A4960">
      <w:start w:val="1"/>
      <w:numFmt w:val="bullet"/>
      <w:lvlText w:val="o"/>
      <w:lvlJc w:val="left"/>
      <w:pPr>
        <w:ind w:left="3600" w:hanging="360"/>
      </w:pPr>
      <w:rPr>
        <w:rFonts w:hint="default" w:ascii="Courier New" w:hAnsi="Courier New"/>
      </w:rPr>
    </w:lvl>
    <w:lvl w:ilvl="5" w:tplc="45B0BE06">
      <w:start w:val="1"/>
      <w:numFmt w:val="bullet"/>
      <w:lvlText w:val=""/>
      <w:lvlJc w:val="left"/>
      <w:pPr>
        <w:ind w:left="4320" w:hanging="360"/>
      </w:pPr>
      <w:rPr>
        <w:rFonts w:hint="default" w:ascii="Wingdings" w:hAnsi="Wingdings"/>
      </w:rPr>
    </w:lvl>
    <w:lvl w:ilvl="6" w:tplc="A7804834">
      <w:start w:val="1"/>
      <w:numFmt w:val="bullet"/>
      <w:lvlText w:val=""/>
      <w:lvlJc w:val="left"/>
      <w:pPr>
        <w:ind w:left="5040" w:hanging="360"/>
      </w:pPr>
      <w:rPr>
        <w:rFonts w:hint="default" w:ascii="Symbol" w:hAnsi="Symbol"/>
      </w:rPr>
    </w:lvl>
    <w:lvl w:ilvl="7" w:tplc="3F6C96C0">
      <w:start w:val="1"/>
      <w:numFmt w:val="bullet"/>
      <w:lvlText w:val="o"/>
      <w:lvlJc w:val="left"/>
      <w:pPr>
        <w:ind w:left="5760" w:hanging="360"/>
      </w:pPr>
      <w:rPr>
        <w:rFonts w:hint="default" w:ascii="Courier New" w:hAnsi="Courier New"/>
      </w:rPr>
    </w:lvl>
    <w:lvl w:ilvl="8" w:tplc="BE3A2774">
      <w:start w:val="1"/>
      <w:numFmt w:val="bullet"/>
      <w:lvlText w:val=""/>
      <w:lvlJc w:val="left"/>
      <w:pPr>
        <w:ind w:left="6480" w:hanging="360"/>
      </w:pPr>
      <w:rPr>
        <w:rFonts w:hint="default" w:ascii="Wingdings" w:hAnsi="Wingdings"/>
      </w:rPr>
    </w:lvl>
  </w:abstractNum>
  <w:abstractNum w:abstractNumId="43" w15:restartNumberingAfterBreak="0">
    <w:nsid w:val="7E9B6550"/>
    <w:multiLevelType w:val="hybridMultilevel"/>
    <w:tmpl w:val="F0DE2C76"/>
    <w:lvl w:ilvl="0" w:tplc="59F81598">
      <w:start w:val="1"/>
      <w:numFmt w:val="bullet"/>
      <w:lvlText w:val=""/>
      <w:lvlJc w:val="left"/>
      <w:pPr>
        <w:ind w:left="1434" w:hanging="360"/>
      </w:pPr>
      <w:rPr>
        <w:rFonts w:hint="default" w:ascii="Wingdings" w:hAnsi="Wingdings"/>
        <w:color w:val="0070C0"/>
      </w:rPr>
    </w:lvl>
    <w:lvl w:ilvl="1" w:tplc="04100003" w:tentative="1">
      <w:start w:val="1"/>
      <w:numFmt w:val="bullet"/>
      <w:lvlText w:val="o"/>
      <w:lvlJc w:val="left"/>
      <w:pPr>
        <w:ind w:left="2154" w:hanging="360"/>
      </w:pPr>
      <w:rPr>
        <w:rFonts w:hint="default" w:ascii="Courier New" w:hAnsi="Courier New" w:cs="Courier New"/>
      </w:rPr>
    </w:lvl>
    <w:lvl w:ilvl="2" w:tplc="04100005" w:tentative="1">
      <w:start w:val="1"/>
      <w:numFmt w:val="bullet"/>
      <w:lvlText w:val=""/>
      <w:lvlJc w:val="left"/>
      <w:pPr>
        <w:ind w:left="2874" w:hanging="360"/>
      </w:pPr>
      <w:rPr>
        <w:rFonts w:hint="default" w:ascii="Wingdings" w:hAnsi="Wingdings"/>
      </w:rPr>
    </w:lvl>
    <w:lvl w:ilvl="3" w:tplc="04100001" w:tentative="1">
      <w:start w:val="1"/>
      <w:numFmt w:val="bullet"/>
      <w:lvlText w:val=""/>
      <w:lvlJc w:val="left"/>
      <w:pPr>
        <w:ind w:left="3594" w:hanging="360"/>
      </w:pPr>
      <w:rPr>
        <w:rFonts w:hint="default" w:ascii="Symbol" w:hAnsi="Symbol"/>
      </w:rPr>
    </w:lvl>
    <w:lvl w:ilvl="4" w:tplc="04100003" w:tentative="1">
      <w:start w:val="1"/>
      <w:numFmt w:val="bullet"/>
      <w:lvlText w:val="o"/>
      <w:lvlJc w:val="left"/>
      <w:pPr>
        <w:ind w:left="4314" w:hanging="360"/>
      </w:pPr>
      <w:rPr>
        <w:rFonts w:hint="default" w:ascii="Courier New" w:hAnsi="Courier New" w:cs="Courier New"/>
      </w:rPr>
    </w:lvl>
    <w:lvl w:ilvl="5" w:tplc="04100005" w:tentative="1">
      <w:start w:val="1"/>
      <w:numFmt w:val="bullet"/>
      <w:lvlText w:val=""/>
      <w:lvlJc w:val="left"/>
      <w:pPr>
        <w:ind w:left="5034" w:hanging="360"/>
      </w:pPr>
      <w:rPr>
        <w:rFonts w:hint="default" w:ascii="Wingdings" w:hAnsi="Wingdings"/>
      </w:rPr>
    </w:lvl>
    <w:lvl w:ilvl="6" w:tplc="04100001" w:tentative="1">
      <w:start w:val="1"/>
      <w:numFmt w:val="bullet"/>
      <w:lvlText w:val=""/>
      <w:lvlJc w:val="left"/>
      <w:pPr>
        <w:ind w:left="5754" w:hanging="360"/>
      </w:pPr>
      <w:rPr>
        <w:rFonts w:hint="default" w:ascii="Symbol" w:hAnsi="Symbol"/>
      </w:rPr>
    </w:lvl>
    <w:lvl w:ilvl="7" w:tplc="04100003" w:tentative="1">
      <w:start w:val="1"/>
      <w:numFmt w:val="bullet"/>
      <w:lvlText w:val="o"/>
      <w:lvlJc w:val="left"/>
      <w:pPr>
        <w:ind w:left="6474" w:hanging="360"/>
      </w:pPr>
      <w:rPr>
        <w:rFonts w:hint="default" w:ascii="Courier New" w:hAnsi="Courier New" w:cs="Courier New"/>
      </w:rPr>
    </w:lvl>
    <w:lvl w:ilvl="8" w:tplc="04100005" w:tentative="1">
      <w:start w:val="1"/>
      <w:numFmt w:val="bullet"/>
      <w:lvlText w:val=""/>
      <w:lvlJc w:val="left"/>
      <w:pPr>
        <w:ind w:left="7194" w:hanging="360"/>
      </w:pPr>
      <w:rPr>
        <w:rFonts w:hint="default" w:ascii="Wingdings" w:hAnsi="Wingdings"/>
      </w:rPr>
    </w:lvl>
  </w:abstractNum>
  <w:abstractNum w:abstractNumId="44" w15:restartNumberingAfterBreak="0">
    <w:nsid w:val="7F8D17EE"/>
    <w:multiLevelType w:val="hybridMultilevel"/>
    <w:tmpl w:val="8A204F56"/>
    <w:lvl w:ilvl="0" w:tplc="FB4E6608">
      <w:start w:val="1"/>
      <w:numFmt w:val="bullet"/>
      <w:lvlText w:val=""/>
      <w:lvlJc w:val="left"/>
      <w:pPr>
        <w:ind w:left="720" w:hanging="360"/>
      </w:pPr>
      <w:rPr>
        <w:rFonts w:hint="default" w:ascii="Wingdings" w:hAnsi="Wingdings"/>
        <w:color w:val="0070C0"/>
      </w:rPr>
    </w:lvl>
    <w:lvl w:ilvl="1" w:tplc="04100003">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num w:numId="1" w16cid:durableId="1855723334">
    <w:abstractNumId w:val="5"/>
  </w:num>
  <w:num w:numId="2" w16cid:durableId="762528991">
    <w:abstractNumId w:val="42"/>
  </w:num>
  <w:num w:numId="3" w16cid:durableId="1863594468">
    <w:abstractNumId w:val="30"/>
  </w:num>
  <w:num w:numId="4" w16cid:durableId="608701828">
    <w:abstractNumId w:val="32"/>
  </w:num>
  <w:num w:numId="5" w16cid:durableId="563489425">
    <w:abstractNumId w:val="7"/>
  </w:num>
  <w:num w:numId="6" w16cid:durableId="2133472508">
    <w:abstractNumId w:val="3"/>
  </w:num>
  <w:num w:numId="7" w16cid:durableId="419832742">
    <w:abstractNumId w:val="31"/>
  </w:num>
  <w:num w:numId="8" w16cid:durableId="945768122">
    <w:abstractNumId w:val="38"/>
  </w:num>
  <w:num w:numId="9" w16cid:durableId="518087735">
    <w:abstractNumId w:val="25"/>
  </w:num>
  <w:num w:numId="10" w16cid:durableId="214200358">
    <w:abstractNumId w:val="4"/>
  </w:num>
  <w:num w:numId="11" w16cid:durableId="1867059793">
    <w:abstractNumId w:val="37"/>
  </w:num>
  <w:num w:numId="12" w16cid:durableId="363141482">
    <w:abstractNumId w:val="14"/>
  </w:num>
  <w:num w:numId="13" w16cid:durableId="1490633794">
    <w:abstractNumId w:val="17"/>
  </w:num>
  <w:num w:numId="14" w16cid:durableId="196312679">
    <w:abstractNumId w:val="16"/>
  </w:num>
  <w:num w:numId="15" w16cid:durableId="663359542">
    <w:abstractNumId w:val="8"/>
  </w:num>
  <w:num w:numId="16" w16cid:durableId="1245265797">
    <w:abstractNumId w:val="19"/>
  </w:num>
  <w:num w:numId="17" w16cid:durableId="139884331">
    <w:abstractNumId w:val="15"/>
  </w:num>
  <w:num w:numId="18" w16cid:durableId="1818917146">
    <w:abstractNumId w:val="22"/>
  </w:num>
  <w:num w:numId="19" w16cid:durableId="994258040">
    <w:abstractNumId w:val="24"/>
  </w:num>
  <w:num w:numId="20" w16cid:durableId="933899452">
    <w:abstractNumId w:val="29"/>
  </w:num>
  <w:num w:numId="21" w16cid:durableId="481585763">
    <w:abstractNumId w:val="41"/>
  </w:num>
  <w:num w:numId="22" w16cid:durableId="1697997269">
    <w:abstractNumId w:val="11"/>
  </w:num>
  <w:num w:numId="23" w16cid:durableId="1441602604">
    <w:abstractNumId w:val="13"/>
  </w:num>
  <w:num w:numId="24" w16cid:durableId="1254587873">
    <w:abstractNumId w:val="36"/>
  </w:num>
  <w:num w:numId="25" w16cid:durableId="512454424">
    <w:abstractNumId w:val="6"/>
  </w:num>
  <w:num w:numId="26" w16cid:durableId="1002928959">
    <w:abstractNumId w:val="2"/>
  </w:num>
  <w:num w:numId="27" w16cid:durableId="1465345947">
    <w:abstractNumId w:val="9"/>
  </w:num>
  <w:num w:numId="28" w16cid:durableId="702095938">
    <w:abstractNumId w:val="43"/>
  </w:num>
  <w:num w:numId="29" w16cid:durableId="856625050">
    <w:abstractNumId w:val="26"/>
  </w:num>
  <w:num w:numId="30" w16cid:durableId="590773887">
    <w:abstractNumId w:val="1"/>
  </w:num>
  <w:num w:numId="31" w16cid:durableId="1731003484">
    <w:abstractNumId w:val="27"/>
  </w:num>
  <w:num w:numId="32" w16cid:durableId="1358312386">
    <w:abstractNumId w:val="39"/>
  </w:num>
  <w:num w:numId="33" w16cid:durableId="140851462">
    <w:abstractNumId w:val="20"/>
  </w:num>
  <w:num w:numId="34" w16cid:durableId="1355573970">
    <w:abstractNumId w:val="40"/>
  </w:num>
  <w:num w:numId="35" w16cid:durableId="456601911">
    <w:abstractNumId w:val="12"/>
  </w:num>
  <w:num w:numId="36" w16cid:durableId="1593275572">
    <w:abstractNumId w:val="44"/>
  </w:num>
  <w:num w:numId="37" w16cid:durableId="405956703">
    <w:abstractNumId w:val="34"/>
  </w:num>
  <w:num w:numId="38" w16cid:durableId="1173836101">
    <w:abstractNumId w:val="23"/>
  </w:num>
  <w:num w:numId="39" w16cid:durableId="423308113">
    <w:abstractNumId w:val="35"/>
  </w:num>
  <w:num w:numId="40" w16cid:durableId="805315911">
    <w:abstractNumId w:val="28"/>
  </w:num>
  <w:num w:numId="41" w16cid:durableId="1199124257">
    <w:abstractNumId w:val="33"/>
  </w:num>
  <w:num w:numId="42" w16cid:durableId="1241910934">
    <w:abstractNumId w:val="10"/>
  </w:num>
  <w:num w:numId="43" w16cid:durableId="429009942">
    <w:abstractNumId w:val="0"/>
  </w:num>
  <w:num w:numId="44" w16cid:durableId="701899832">
    <w:abstractNumId w:val="18"/>
  </w:num>
  <w:num w:numId="45" w16cid:durableId="981616913">
    <w:abstractNumId w:val="21"/>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3"/>
  <w:activeWritingStyle w:lang="en-US" w:vendorID="64" w:dllVersion="0" w:nlCheck="1" w:checkStyle="0" w:appName="MSWord"/>
  <w:trackRevisions w:val="false"/>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38DD"/>
    <w:rsid w:val="000013AA"/>
    <w:rsid w:val="000028EB"/>
    <w:rsid w:val="0000356C"/>
    <w:rsid w:val="000066B0"/>
    <w:rsid w:val="000066CF"/>
    <w:rsid w:val="00007862"/>
    <w:rsid w:val="0001045A"/>
    <w:rsid w:val="0001102F"/>
    <w:rsid w:val="000110D5"/>
    <w:rsid w:val="0001139B"/>
    <w:rsid w:val="00011C52"/>
    <w:rsid w:val="00011FAD"/>
    <w:rsid w:val="00012381"/>
    <w:rsid w:val="00012E91"/>
    <w:rsid w:val="000135CA"/>
    <w:rsid w:val="00013F83"/>
    <w:rsid w:val="00015703"/>
    <w:rsid w:val="00015DB4"/>
    <w:rsid w:val="00015E13"/>
    <w:rsid w:val="0001659A"/>
    <w:rsid w:val="00016743"/>
    <w:rsid w:val="00017135"/>
    <w:rsid w:val="000179C7"/>
    <w:rsid w:val="000200E1"/>
    <w:rsid w:val="00020EBB"/>
    <w:rsid w:val="00022744"/>
    <w:rsid w:val="000233A8"/>
    <w:rsid w:val="00023732"/>
    <w:rsid w:val="000238AA"/>
    <w:rsid w:val="000238DD"/>
    <w:rsid w:val="00023F76"/>
    <w:rsid w:val="00024125"/>
    <w:rsid w:val="00025AA1"/>
    <w:rsid w:val="00026114"/>
    <w:rsid w:val="000266A7"/>
    <w:rsid w:val="0002757E"/>
    <w:rsid w:val="00030C97"/>
    <w:rsid w:val="00031947"/>
    <w:rsid w:val="00031BF7"/>
    <w:rsid w:val="00031E76"/>
    <w:rsid w:val="00031EDF"/>
    <w:rsid w:val="00031FC9"/>
    <w:rsid w:val="00033BE4"/>
    <w:rsid w:val="00034149"/>
    <w:rsid w:val="00036889"/>
    <w:rsid w:val="000377CD"/>
    <w:rsid w:val="000404B5"/>
    <w:rsid w:val="000409B4"/>
    <w:rsid w:val="00040DDC"/>
    <w:rsid w:val="000411B3"/>
    <w:rsid w:val="00041577"/>
    <w:rsid w:val="00041D8F"/>
    <w:rsid w:val="0004279D"/>
    <w:rsid w:val="00042DCF"/>
    <w:rsid w:val="00043924"/>
    <w:rsid w:val="000439D5"/>
    <w:rsid w:val="0004438D"/>
    <w:rsid w:val="0004574D"/>
    <w:rsid w:val="00045873"/>
    <w:rsid w:val="00045C6F"/>
    <w:rsid w:val="00046E3D"/>
    <w:rsid w:val="00050B90"/>
    <w:rsid w:val="00050E58"/>
    <w:rsid w:val="00051CBE"/>
    <w:rsid w:val="00051DBB"/>
    <w:rsid w:val="000527B5"/>
    <w:rsid w:val="00052914"/>
    <w:rsid w:val="00052ACE"/>
    <w:rsid w:val="00052B69"/>
    <w:rsid w:val="000537F7"/>
    <w:rsid w:val="00053CC1"/>
    <w:rsid w:val="00054943"/>
    <w:rsid w:val="00054F14"/>
    <w:rsid w:val="000561BA"/>
    <w:rsid w:val="0005686C"/>
    <w:rsid w:val="00056BCE"/>
    <w:rsid w:val="00057156"/>
    <w:rsid w:val="00057A8E"/>
    <w:rsid w:val="000618DF"/>
    <w:rsid w:val="000622E8"/>
    <w:rsid w:val="000628B6"/>
    <w:rsid w:val="00062B7E"/>
    <w:rsid w:val="000647FB"/>
    <w:rsid w:val="0006638A"/>
    <w:rsid w:val="00067B59"/>
    <w:rsid w:val="00067E0E"/>
    <w:rsid w:val="000708D2"/>
    <w:rsid w:val="0007092B"/>
    <w:rsid w:val="00070FB2"/>
    <w:rsid w:val="00071392"/>
    <w:rsid w:val="00071C94"/>
    <w:rsid w:val="00072181"/>
    <w:rsid w:val="00072BBF"/>
    <w:rsid w:val="00073B0A"/>
    <w:rsid w:val="0007636B"/>
    <w:rsid w:val="000766F2"/>
    <w:rsid w:val="000773B9"/>
    <w:rsid w:val="000776EE"/>
    <w:rsid w:val="00077CBB"/>
    <w:rsid w:val="00081062"/>
    <w:rsid w:val="00081731"/>
    <w:rsid w:val="00081D89"/>
    <w:rsid w:val="000821B8"/>
    <w:rsid w:val="00082F90"/>
    <w:rsid w:val="00084468"/>
    <w:rsid w:val="0008498C"/>
    <w:rsid w:val="00084FF2"/>
    <w:rsid w:val="000851A2"/>
    <w:rsid w:val="00085C77"/>
    <w:rsid w:val="00086090"/>
    <w:rsid w:val="00086378"/>
    <w:rsid w:val="000877FF"/>
    <w:rsid w:val="00087804"/>
    <w:rsid w:val="000902EF"/>
    <w:rsid w:val="0009072A"/>
    <w:rsid w:val="00090F6D"/>
    <w:rsid w:val="00091068"/>
    <w:rsid w:val="0009116D"/>
    <w:rsid w:val="00092B54"/>
    <w:rsid w:val="00092B96"/>
    <w:rsid w:val="000943D2"/>
    <w:rsid w:val="0009470A"/>
    <w:rsid w:val="0009556C"/>
    <w:rsid w:val="00095BD1"/>
    <w:rsid w:val="000967E0"/>
    <w:rsid w:val="00096F15"/>
    <w:rsid w:val="000A082F"/>
    <w:rsid w:val="000A17FC"/>
    <w:rsid w:val="000A24C7"/>
    <w:rsid w:val="000A2D06"/>
    <w:rsid w:val="000A2EDB"/>
    <w:rsid w:val="000A3A89"/>
    <w:rsid w:val="000A6217"/>
    <w:rsid w:val="000A6B00"/>
    <w:rsid w:val="000A6B66"/>
    <w:rsid w:val="000A6C98"/>
    <w:rsid w:val="000B00EC"/>
    <w:rsid w:val="000B0A38"/>
    <w:rsid w:val="000B0A9C"/>
    <w:rsid w:val="000B0C08"/>
    <w:rsid w:val="000B1340"/>
    <w:rsid w:val="000B17EE"/>
    <w:rsid w:val="000B2605"/>
    <w:rsid w:val="000B2ECA"/>
    <w:rsid w:val="000B34CD"/>
    <w:rsid w:val="000B7F86"/>
    <w:rsid w:val="000C1561"/>
    <w:rsid w:val="000C16BC"/>
    <w:rsid w:val="000C2E14"/>
    <w:rsid w:val="000C3818"/>
    <w:rsid w:val="000C4680"/>
    <w:rsid w:val="000C578D"/>
    <w:rsid w:val="000C5C35"/>
    <w:rsid w:val="000C63BB"/>
    <w:rsid w:val="000C7A3A"/>
    <w:rsid w:val="000C7B8C"/>
    <w:rsid w:val="000D166E"/>
    <w:rsid w:val="000D28EB"/>
    <w:rsid w:val="000D2AB7"/>
    <w:rsid w:val="000D2CED"/>
    <w:rsid w:val="000D33F6"/>
    <w:rsid w:val="000D38D4"/>
    <w:rsid w:val="000D3F98"/>
    <w:rsid w:val="000D637E"/>
    <w:rsid w:val="000D6402"/>
    <w:rsid w:val="000D66D9"/>
    <w:rsid w:val="000D6CDF"/>
    <w:rsid w:val="000D7660"/>
    <w:rsid w:val="000D7CA7"/>
    <w:rsid w:val="000E0AF0"/>
    <w:rsid w:val="000E16BC"/>
    <w:rsid w:val="000E1F65"/>
    <w:rsid w:val="000E2685"/>
    <w:rsid w:val="000E2FBB"/>
    <w:rsid w:val="000E3C8F"/>
    <w:rsid w:val="000E4338"/>
    <w:rsid w:val="000E4728"/>
    <w:rsid w:val="000E5457"/>
    <w:rsid w:val="000E561B"/>
    <w:rsid w:val="000E5B99"/>
    <w:rsid w:val="000E649F"/>
    <w:rsid w:val="000E700E"/>
    <w:rsid w:val="000E7B5B"/>
    <w:rsid w:val="000F014B"/>
    <w:rsid w:val="000F07CD"/>
    <w:rsid w:val="000F189A"/>
    <w:rsid w:val="000F2691"/>
    <w:rsid w:val="000F2766"/>
    <w:rsid w:val="000F312C"/>
    <w:rsid w:val="000F56FA"/>
    <w:rsid w:val="000F6C1C"/>
    <w:rsid w:val="0010049C"/>
    <w:rsid w:val="00101842"/>
    <w:rsid w:val="00101F12"/>
    <w:rsid w:val="0010241E"/>
    <w:rsid w:val="0010294A"/>
    <w:rsid w:val="00104D4C"/>
    <w:rsid w:val="0010508B"/>
    <w:rsid w:val="001056FD"/>
    <w:rsid w:val="00105C2B"/>
    <w:rsid w:val="00105D00"/>
    <w:rsid w:val="00106AB3"/>
    <w:rsid w:val="00110B5F"/>
    <w:rsid w:val="00111A3B"/>
    <w:rsid w:val="00111CA0"/>
    <w:rsid w:val="00111CCF"/>
    <w:rsid w:val="00111F6D"/>
    <w:rsid w:val="00112213"/>
    <w:rsid w:val="0011257F"/>
    <w:rsid w:val="00112909"/>
    <w:rsid w:val="001137CF"/>
    <w:rsid w:val="001141AC"/>
    <w:rsid w:val="001145BE"/>
    <w:rsid w:val="00114802"/>
    <w:rsid w:val="00114A2F"/>
    <w:rsid w:val="00115D88"/>
    <w:rsid w:val="00117654"/>
    <w:rsid w:val="0012048C"/>
    <w:rsid w:val="001209AA"/>
    <w:rsid w:val="00120B66"/>
    <w:rsid w:val="00120B79"/>
    <w:rsid w:val="00122067"/>
    <w:rsid w:val="001226B4"/>
    <w:rsid w:val="00123A6B"/>
    <w:rsid w:val="0012419A"/>
    <w:rsid w:val="0012500A"/>
    <w:rsid w:val="0012512D"/>
    <w:rsid w:val="00125483"/>
    <w:rsid w:val="0012775C"/>
    <w:rsid w:val="001278B2"/>
    <w:rsid w:val="00127B4D"/>
    <w:rsid w:val="00131BCF"/>
    <w:rsid w:val="001326E1"/>
    <w:rsid w:val="001332F2"/>
    <w:rsid w:val="001334B2"/>
    <w:rsid w:val="00133AA2"/>
    <w:rsid w:val="001344CE"/>
    <w:rsid w:val="00134644"/>
    <w:rsid w:val="00135272"/>
    <w:rsid w:val="001363DC"/>
    <w:rsid w:val="00136676"/>
    <w:rsid w:val="00136788"/>
    <w:rsid w:val="0013767D"/>
    <w:rsid w:val="00141A84"/>
    <w:rsid w:val="00141D0F"/>
    <w:rsid w:val="0014233E"/>
    <w:rsid w:val="00142E37"/>
    <w:rsid w:val="00142E5C"/>
    <w:rsid w:val="00142EE3"/>
    <w:rsid w:val="001439E7"/>
    <w:rsid w:val="0014413A"/>
    <w:rsid w:val="0014430D"/>
    <w:rsid w:val="0014581F"/>
    <w:rsid w:val="00146617"/>
    <w:rsid w:val="001502E9"/>
    <w:rsid w:val="0015030B"/>
    <w:rsid w:val="00150575"/>
    <w:rsid w:val="00150AA1"/>
    <w:rsid w:val="00151683"/>
    <w:rsid w:val="0015239C"/>
    <w:rsid w:val="00152406"/>
    <w:rsid w:val="0015246D"/>
    <w:rsid w:val="00152CEE"/>
    <w:rsid w:val="001537AB"/>
    <w:rsid w:val="0015382F"/>
    <w:rsid w:val="00153952"/>
    <w:rsid w:val="00153B97"/>
    <w:rsid w:val="00154582"/>
    <w:rsid w:val="001548EF"/>
    <w:rsid w:val="00154C67"/>
    <w:rsid w:val="00155160"/>
    <w:rsid w:val="00155166"/>
    <w:rsid w:val="00155B32"/>
    <w:rsid w:val="00155F34"/>
    <w:rsid w:val="00156468"/>
    <w:rsid w:val="00156672"/>
    <w:rsid w:val="00156A84"/>
    <w:rsid w:val="00157185"/>
    <w:rsid w:val="00157838"/>
    <w:rsid w:val="001605BC"/>
    <w:rsid w:val="001617CC"/>
    <w:rsid w:val="00161844"/>
    <w:rsid w:val="001624A4"/>
    <w:rsid w:val="00162648"/>
    <w:rsid w:val="0016299C"/>
    <w:rsid w:val="00163055"/>
    <w:rsid w:val="00164BC2"/>
    <w:rsid w:val="001658AC"/>
    <w:rsid w:val="001659C0"/>
    <w:rsid w:val="00165A26"/>
    <w:rsid w:val="00165C34"/>
    <w:rsid w:val="00165E14"/>
    <w:rsid w:val="00166A8E"/>
    <w:rsid w:val="001670BE"/>
    <w:rsid w:val="00167C65"/>
    <w:rsid w:val="00170A2A"/>
    <w:rsid w:val="001711EA"/>
    <w:rsid w:val="001713F3"/>
    <w:rsid w:val="001729A9"/>
    <w:rsid w:val="00172AE2"/>
    <w:rsid w:val="00172ED2"/>
    <w:rsid w:val="00172FAD"/>
    <w:rsid w:val="001731AF"/>
    <w:rsid w:val="001747FB"/>
    <w:rsid w:val="001751DC"/>
    <w:rsid w:val="00175761"/>
    <w:rsid w:val="00175D60"/>
    <w:rsid w:val="00176E86"/>
    <w:rsid w:val="0017763C"/>
    <w:rsid w:val="001814AD"/>
    <w:rsid w:val="001819ED"/>
    <w:rsid w:val="00182189"/>
    <w:rsid w:val="001821C0"/>
    <w:rsid w:val="00182305"/>
    <w:rsid w:val="001824EF"/>
    <w:rsid w:val="00182606"/>
    <w:rsid w:val="0018266A"/>
    <w:rsid w:val="0018360E"/>
    <w:rsid w:val="00185CD4"/>
    <w:rsid w:val="00186CC0"/>
    <w:rsid w:val="001870A3"/>
    <w:rsid w:val="00187115"/>
    <w:rsid w:val="00187669"/>
    <w:rsid w:val="00190843"/>
    <w:rsid w:val="00190B6D"/>
    <w:rsid w:val="00190E0B"/>
    <w:rsid w:val="001917C8"/>
    <w:rsid w:val="00192A5A"/>
    <w:rsid w:val="001941F1"/>
    <w:rsid w:val="001954A2"/>
    <w:rsid w:val="00195B33"/>
    <w:rsid w:val="00195CC5"/>
    <w:rsid w:val="001968A0"/>
    <w:rsid w:val="00196CA7"/>
    <w:rsid w:val="00197462"/>
    <w:rsid w:val="001A02BB"/>
    <w:rsid w:val="001A085F"/>
    <w:rsid w:val="001A0BDE"/>
    <w:rsid w:val="001A17C0"/>
    <w:rsid w:val="001A223E"/>
    <w:rsid w:val="001A2666"/>
    <w:rsid w:val="001A39F8"/>
    <w:rsid w:val="001A44F0"/>
    <w:rsid w:val="001A4EE3"/>
    <w:rsid w:val="001A5CFD"/>
    <w:rsid w:val="001A6419"/>
    <w:rsid w:val="001A6A81"/>
    <w:rsid w:val="001B0124"/>
    <w:rsid w:val="001B06FC"/>
    <w:rsid w:val="001B126C"/>
    <w:rsid w:val="001B153B"/>
    <w:rsid w:val="001B16AA"/>
    <w:rsid w:val="001B17DC"/>
    <w:rsid w:val="001B22ED"/>
    <w:rsid w:val="001B3C21"/>
    <w:rsid w:val="001B3EFA"/>
    <w:rsid w:val="001B4089"/>
    <w:rsid w:val="001B44A4"/>
    <w:rsid w:val="001B453B"/>
    <w:rsid w:val="001B488F"/>
    <w:rsid w:val="001B5BC7"/>
    <w:rsid w:val="001B6F2B"/>
    <w:rsid w:val="001B724C"/>
    <w:rsid w:val="001B7461"/>
    <w:rsid w:val="001B75AB"/>
    <w:rsid w:val="001C214B"/>
    <w:rsid w:val="001C23A1"/>
    <w:rsid w:val="001C2EB0"/>
    <w:rsid w:val="001C31D9"/>
    <w:rsid w:val="001C340D"/>
    <w:rsid w:val="001C3454"/>
    <w:rsid w:val="001C5893"/>
    <w:rsid w:val="001C5B43"/>
    <w:rsid w:val="001C5C6A"/>
    <w:rsid w:val="001C6D04"/>
    <w:rsid w:val="001C6F9F"/>
    <w:rsid w:val="001C768A"/>
    <w:rsid w:val="001C7BEB"/>
    <w:rsid w:val="001D0412"/>
    <w:rsid w:val="001D123F"/>
    <w:rsid w:val="001D16A8"/>
    <w:rsid w:val="001D1C63"/>
    <w:rsid w:val="001D3099"/>
    <w:rsid w:val="001D37B3"/>
    <w:rsid w:val="001D39B3"/>
    <w:rsid w:val="001D4722"/>
    <w:rsid w:val="001D4D20"/>
    <w:rsid w:val="001D5976"/>
    <w:rsid w:val="001D6A72"/>
    <w:rsid w:val="001D6E40"/>
    <w:rsid w:val="001D6E5B"/>
    <w:rsid w:val="001E05BE"/>
    <w:rsid w:val="001E0712"/>
    <w:rsid w:val="001E17E0"/>
    <w:rsid w:val="001E3A85"/>
    <w:rsid w:val="001E3EA2"/>
    <w:rsid w:val="001E3ED3"/>
    <w:rsid w:val="001E4031"/>
    <w:rsid w:val="001E479E"/>
    <w:rsid w:val="001F0EE1"/>
    <w:rsid w:val="001F1475"/>
    <w:rsid w:val="001F1F7F"/>
    <w:rsid w:val="001F2972"/>
    <w:rsid w:val="001F3B61"/>
    <w:rsid w:val="001F3CBB"/>
    <w:rsid w:val="001F58AD"/>
    <w:rsid w:val="001F621B"/>
    <w:rsid w:val="001F675B"/>
    <w:rsid w:val="001F68A5"/>
    <w:rsid w:val="001F6B63"/>
    <w:rsid w:val="001F6F92"/>
    <w:rsid w:val="001F7FF0"/>
    <w:rsid w:val="00200632"/>
    <w:rsid w:val="00200638"/>
    <w:rsid w:val="00200D69"/>
    <w:rsid w:val="00201530"/>
    <w:rsid w:val="00201789"/>
    <w:rsid w:val="00201D1F"/>
    <w:rsid w:val="002020D3"/>
    <w:rsid w:val="002030F6"/>
    <w:rsid w:val="0020384F"/>
    <w:rsid w:val="00204ED9"/>
    <w:rsid w:val="002071A7"/>
    <w:rsid w:val="00207E11"/>
    <w:rsid w:val="002111EB"/>
    <w:rsid w:val="0021224D"/>
    <w:rsid w:val="002142E2"/>
    <w:rsid w:val="002165C9"/>
    <w:rsid w:val="00220AC2"/>
    <w:rsid w:val="00220FC3"/>
    <w:rsid w:val="00221073"/>
    <w:rsid w:val="00221E88"/>
    <w:rsid w:val="0022472C"/>
    <w:rsid w:val="002266A9"/>
    <w:rsid w:val="00226DFC"/>
    <w:rsid w:val="00227978"/>
    <w:rsid w:val="002306D6"/>
    <w:rsid w:val="00230CE7"/>
    <w:rsid w:val="002315A1"/>
    <w:rsid w:val="00231A9A"/>
    <w:rsid w:val="00231EB5"/>
    <w:rsid w:val="00231FEE"/>
    <w:rsid w:val="002328C7"/>
    <w:rsid w:val="00233162"/>
    <w:rsid w:val="002341BE"/>
    <w:rsid w:val="002342D2"/>
    <w:rsid w:val="00234956"/>
    <w:rsid w:val="00235066"/>
    <w:rsid w:val="00235A8D"/>
    <w:rsid w:val="002365D0"/>
    <w:rsid w:val="002367B1"/>
    <w:rsid w:val="00236C5A"/>
    <w:rsid w:val="00237B70"/>
    <w:rsid w:val="002407AD"/>
    <w:rsid w:val="00242306"/>
    <w:rsid w:val="00242B33"/>
    <w:rsid w:val="00243686"/>
    <w:rsid w:val="00243ACF"/>
    <w:rsid w:val="00245F7B"/>
    <w:rsid w:val="00246761"/>
    <w:rsid w:val="00251467"/>
    <w:rsid w:val="00251810"/>
    <w:rsid w:val="00251CF5"/>
    <w:rsid w:val="00251E36"/>
    <w:rsid w:val="0025249E"/>
    <w:rsid w:val="002524B5"/>
    <w:rsid w:val="002527C8"/>
    <w:rsid w:val="00252D1C"/>
    <w:rsid w:val="00252D5C"/>
    <w:rsid w:val="002530E2"/>
    <w:rsid w:val="00253B71"/>
    <w:rsid w:val="002543E0"/>
    <w:rsid w:val="00254685"/>
    <w:rsid w:val="00255178"/>
    <w:rsid w:val="002553D5"/>
    <w:rsid w:val="0025551E"/>
    <w:rsid w:val="002560A0"/>
    <w:rsid w:val="00256B0D"/>
    <w:rsid w:val="0025785B"/>
    <w:rsid w:val="00260DDB"/>
    <w:rsid w:val="002632FB"/>
    <w:rsid w:val="00263E3F"/>
    <w:rsid w:val="0026422B"/>
    <w:rsid w:val="0026533D"/>
    <w:rsid w:val="00265D3F"/>
    <w:rsid w:val="002673FD"/>
    <w:rsid w:val="002702D3"/>
    <w:rsid w:val="00270F7C"/>
    <w:rsid w:val="00271084"/>
    <w:rsid w:val="002713D2"/>
    <w:rsid w:val="00271D3C"/>
    <w:rsid w:val="00272DFD"/>
    <w:rsid w:val="00272E3E"/>
    <w:rsid w:val="002730A5"/>
    <w:rsid w:val="0027353D"/>
    <w:rsid w:val="00273A42"/>
    <w:rsid w:val="00274070"/>
    <w:rsid w:val="00274B23"/>
    <w:rsid w:val="002752BE"/>
    <w:rsid w:val="0027530F"/>
    <w:rsid w:val="0027583E"/>
    <w:rsid w:val="00276AAF"/>
    <w:rsid w:val="00281D73"/>
    <w:rsid w:val="00282115"/>
    <w:rsid w:val="00282833"/>
    <w:rsid w:val="002832EB"/>
    <w:rsid w:val="00283D1D"/>
    <w:rsid w:val="00284DF1"/>
    <w:rsid w:val="00285FE6"/>
    <w:rsid w:val="00286922"/>
    <w:rsid w:val="00287682"/>
    <w:rsid w:val="00292589"/>
    <w:rsid w:val="00292FEB"/>
    <w:rsid w:val="002933A2"/>
    <w:rsid w:val="00293458"/>
    <w:rsid w:val="00294619"/>
    <w:rsid w:val="00294C21"/>
    <w:rsid w:val="00294FDA"/>
    <w:rsid w:val="002957B7"/>
    <w:rsid w:val="00296844"/>
    <w:rsid w:val="00296CD1"/>
    <w:rsid w:val="002A02CF"/>
    <w:rsid w:val="002A053D"/>
    <w:rsid w:val="002A1E9F"/>
    <w:rsid w:val="002A24EF"/>
    <w:rsid w:val="002A2A0F"/>
    <w:rsid w:val="002A34BC"/>
    <w:rsid w:val="002A4263"/>
    <w:rsid w:val="002A5CB1"/>
    <w:rsid w:val="002A607F"/>
    <w:rsid w:val="002A686D"/>
    <w:rsid w:val="002A68EE"/>
    <w:rsid w:val="002A6F10"/>
    <w:rsid w:val="002A71C3"/>
    <w:rsid w:val="002A7627"/>
    <w:rsid w:val="002A7977"/>
    <w:rsid w:val="002A7BC2"/>
    <w:rsid w:val="002B1601"/>
    <w:rsid w:val="002B2EB3"/>
    <w:rsid w:val="002B3157"/>
    <w:rsid w:val="002B3231"/>
    <w:rsid w:val="002B3E0F"/>
    <w:rsid w:val="002B4A22"/>
    <w:rsid w:val="002B6B01"/>
    <w:rsid w:val="002B6B46"/>
    <w:rsid w:val="002B7E0A"/>
    <w:rsid w:val="002C001B"/>
    <w:rsid w:val="002C04B7"/>
    <w:rsid w:val="002C123A"/>
    <w:rsid w:val="002C1AC9"/>
    <w:rsid w:val="002C2156"/>
    <w:rsid w:val="002C21B3"/>
    <w:rsid w:val="002C3012"/>
    <w:rsid w:val="002C55D9"/>
    <w:rsid w:val="002C6AD8"/>
    <w:rsid w:val="002C78B9"/>
    <w:rsid w:val="002D07BB"/>
    <w:rsid w:val="002D1C08"/>
    <w:rsid w:val="002D316F"/>
    <w:rsid w:val="002D3177"/>
    <w:rsid w:val="002D35AD"/>
    <w:rsid w:val="002D6D9C"/>
    <w:rsid w:val="002D74CD"/>
    <w:rsid w:val="002E0098"/>
    <w:rsid w:val="002E0E9E"/>
    <w:rsid w:val="002E12A1"/>
    <w:rsid w:val="002E17B1"/>
    <w:rsid w:val="002E1C40"/>
    <w:rsid w:val="002E1CDD"/>
    <w:rsid w:val="002E1E15"/>
    <w:rsid w:val="002E255A"/>
    <w:rsid w:val="002E260C"/>
    <w:rsid w:val="002E33DF"/>
    <w:rsid w:val="002E355B"/>
    <w:rsid w:val="002E364D"/>
    <w:rsid w:val="002E3D81"/>
    <w:rsid w:val="002E3DC2"/>
    <w:rsid w:val="002E406C"/>
    <w:rsid w:val="002E464E"/>
    <w:rsid w:val="002E466A"/>
    <w:rsid w:val="002E6B7B"/>
    <w:rsid w:val="002E6CCA"/>
    <w:rsid w:val="002E7831"/>
    <w:rsid w:val="002E7A4A"/>
    <w:rsid w:val="002F08BB"/>
    <w:rsid w:val="002F08ED"/>
    <w:rsid w:val="002F0C5C"/>
    <w:rsid w:val="002F0CFB"/>
    <w:rsid w:val="002F1026"/>
    <w:rsid w:val="002F2806"/>
    <w:rsid w:val="002F2BD6"/>
    <w:rsid w:val="002F3A2E"/>
    <w:rsid w:val="002F3A68"/>
    <w:rsid w:val="002F411A"/>
    <w:rsid w:val="002F4C42"/>
    <w:rsid w:val="002F54E4"/>
    <w:rsid w:val="002F64C8"/>
    <w:rsid w:val="002F7D86"/>
    <w:rsid w:val="00300367"/>
    <w:rsid w:val="003004B0"/>
    <w:rsid w:val="00300988"/>
    <w:rsid w:val="00301599"/>
    <w:rsid w:val="00301766"/>
    <w:rsid w:val="003017A6"/>
    <w:rsid w:val="003023FB"/>
    <w:rsid w:val="003026EC"/>
    <w:rsid w:val="00302858"/>
    <w:rsid w:val="00302DC5"/>
    <w:rsid w:val="003032A4"/>
    <w:rsid w:val="00303A40"/>
    <w:rsid w:val="00304E58"/>
    <w:rsid w:val="003063D8"/>
    <w:rsid w:val="00310B72"/>
    <w:rsid w:val="00311973"/>
    <w:rsid w:val="00311AAE"/>
    <w:rsid w:val="00311CAE"/>
    <w:rsid w:val="00311DD6"/>
    <w:rsid w:val="003121E7"/>
    <w:rsid w:val="003124FD"/>
    <w:rsid w:val="00313263"/>
    <w:rsid w:val="00313370"/>
    <w:rsid w:val="0031397F"/>
    <w:rsid w:val="00314501"/>
    <w:rsid w:val="00315B73"/>
    <w:rsid w:val="003166DD"/>
    <w:rsid w:val="00317149"/>
    <w:rsid w:val="00317889"/>
    <w:rsid w:val="00317E77"/>
    <w:rsid w:val="00320554"/>
    <w:rsid w:val="003209DB"/>
    <w:rsid w:val="003211AA"/>
    <w:rsid w:val="00321C24"/>
    <w:rsid w:val="00323E1F"/>
    <w:rsid w:val="003249ED"/>
    <w:rsid w:val="003260FB"/>
    <w:rsid w:val="00326AF4"/>
    <w:rsid w:val="003305D9"/>
    <w:rsid w:val="00331167"/>
    <w:rsid w:val="00331D65"/>
    <w:rsid w:val="003334B3"/>
    <w:rsid w:val="00333711"/>
    <w:rsid w:val="00334546"/>
    <w:rsid w:val="003346D1"/>
    <w:rsid w:val="003352A2"/>
    <w:rsid w:val="00335969"/>
    <w:rsid w:val="00335BC5"/>
    <w:rsid w:val="00336AED"/>
    <w:rsid w:val="003377C7"/>
    <w:rsid w:val="00337C21"/>
    <w:rsid w:val="0034023A"/>
    <w:rsid w:val="003418E5"/>
    <w:rsid w:val="00341F84"/>
    <w:rsid w:val="00342D92"/>
    <w:rsid w:val="0034462F"/>
    <w:rsid w:val="00344EBF"/>
    <w:rsid w:val="00346D29"/>
    <w:rsid w:val="003473F7"/>
    <w:rsid w:val="00347538"/>
    <w:rsid w:val="0034756D"/>
    <w:rsid w:val="0035012E"/>
    <w:rsid w:val="00351142"/>
    <w:rsid w:val="003516E0"/>
    <w:rsid w:val="00353E5B"/>
    <w:rsid w:val="00354686"/>
    <w:rsid w:val="003552CA"/>
    <w:rsid w:val="003552EF"/>
    <w:rsid w:val="0035606F"/>
    <w:rsid w:val="00357432"/>
    <w:rsid w:val="003614E3"/>
    <w:rsid w:val="00363118"/>
    <w:rsid w:val="00363293"/>
    <w:rsid w:val="003638CA"/>
    <w:rsid w:val="00363C7C"/>
    <w:rsid w:val="00363D40"/>
    <w:rsid w:val="00364A16"/>
    <w:rsid w:val="00364EFA"/>
    <w:rsid w:val="003658E4"/>
    <w:rsid w:val="00365DD9"/>
    <w:rsid w:val="00366578"/>
    <w:rsid w:val="00366EFB"/>
    <w:rsid w:val="00367269"/>
    <w:rsid w:val="00367DB2"/>
    <w:rsid w:val="00367FC6"/>
    <w:rsid w:val="00370C08"/>
    <w:rsid w:val="003717EA"/>
    <w:rsid w:val="00372D0B"/>
    <w:rsid w:val="00372F00"/>
    <w:rsid w:val="00374C48"/>
    <w:rsid w:val="003754D6"/>
    <w:rsid w:val="00375B69"/>
    <w:rsid w:val="003813AF"/>
    <w:rsid w:val="00381E9B"/>
    <w:rsid w:val="003823B9"/>
    <w:rsid w:val="003868D5"/>
    <w:rsid w:val="00387462"/>
    <w:rsid w:val="003877FC"/>
    <w:rsid w:val="00387D78"/>
    <w:rsid w:val="0039046C"/>
    <w:rsid w:val="00390761"/>
    <w:rsid w:val="00390EC5"/>
    <w:rsid w:val="0039170B"/>
    <w:rsid w:val="00392672"/>
    <w:rsid w:val="00393A2A"/>
    <w:rsid w:val="00394C7C"/>
    <w:rsid w:val="00394E75"/>
    <w:rsid w:val="0039619D"/>
    <w:rsid w:val="0039688C"/>
    <w:rsid w:val="00397783"/>
    <w:rsid w:val="003978EA"/>
    <w:rsid w:val="003978FA"/>
    <w:rsid w:val="003A0D37"/>
    <w:rsid w:val="003A0FE0"/>
    <w:rsid w:val="003A1100"/>
    <w:rsid w:val="003A1671"/>
    <w:rsid w:val="003A1B89"/>
    <w:rsid w:val="003A20B2"/>
    <w:rsid w:val="003A29B8"/>
    <w:rsid w:val="003A29BD"/>
    <w:rsid w:val="003A2FD1"/>
    <w:rsid w:val="003A3286"/>
    <w:rsid w:val="003A32CB"/>
    <w:rsid w:val="003A44C1"/>
    <w:rsid w:val="003A5321"/>
    <w:rsid w:val="003A58E7"/>
    <w:rsid w:val="003A5C0A"/>
    <w:rsid w:val="003A71FA"/>
    <w:rsid w:val="003B1102"/>
    <w:rsid w:val="003B272A"/>
    <w:rsid w:val="003B2777"/>
    <w:rsid w:val="003B40DF"/>
    <w:rsid w:val="003B4FD8"/>
    <w:rsid w:val="003B52C6"/>
    <w:rsid w:val="003B5E5D"/>
    <w:rsid w:val="003B5EE9"/>
    <w:rsid w:val="003B6249"/>
    <w:rsid w:val="003B6766"/>
    <w:rsid w:val="003B7C32"/>
    <w:rsid w:val="003C10EF"/>
    <w:rsid w:val="003C1BF5"/>
    <w:rsid w:val="003C1CF4"/>
    <w:rsid w:val="003C1D66"/>
    <w:rsid w:val="003C309F"/>
    <w:rsid w:val="003C3D6B"/>
    <w:rsid w:val="003C58F1"/>
    <w:rsid w:val="003C7849"/>
    <w:rsid w:val="003C7AF2"/>
    <w:rsid w:val="003C7E66"/>
    <w:rsid w:val="003D005D"/>
    <w:rsid w:val="003D0EAB"/>
    <w:rsid w:val="003D1BAD"/>
    <w:rsid w:val="003D52A0"/>
    <w:rsid w:val="003D64DE"/>
    <w:rsid w:val="003D6C59"/>
    <w:rsid w:val="003D6D0D"/>
    <w:rsid w:val="003D6EC9"/>
    <w:rsid w:val="003D7067"/>
    <w:rsid w:val="003D743F"/>
    <w:rsid w:val="003E092E"/>
    <w:rsid w:val="003E0B8B"/>
    <w:rsid w:val="003E2F6B"/>
    <w:rsid w:val="003E34C0"/>
    <w:rsid w:val="003E3810"/>
    <w:rsid w:val="003E4E11"/>
    <w:rsid w:val="003E4E4C"/>
    <w:rsid w:val="003E57DD"/>
    <w:rsid w:val="003E6D05"/>
    <w:rsid w:val="003F00DB"/>
    <w:rsid w:val="003F0237"/>
    <w:rsid w:val="003F0AD9"/>
    <w:rsid w:val="003F2899"/>
    <w:rsid w:val="003F3291"/>
    <w:rsid w:val="003F3A94"/>
    <w:rsid w:val="003F4831"/>
    <w:rsid w:val="003F48C4"/>
    <w:rsid w:val="003F4914"/>
    <w:rsid w:val="003F5426"/>
    <w:rsid w:val="003F57A8"/>
    <w:rsid w:val="003F59ED"/>
    <w:rsid w:val="003F604F"/>
    <w:rsid w:val="003F7FE5"/>
    <w:rsid w:val="00400D28"/>
    <w:rsid w:val="00402B07"/>
    <w:rsid w:val="00404945"/>
    <w:rsid w:val="00404EB8"/>
    <w:rsid w:val="004065B1"/>
    <w:rsid w:val="00410174"/>
    <w:rsid w:val="00410DE6"/>
    <w:rsid w:val="00412102"/>
    <w:rsid w:val="00412FE2"/>
    <w:rsid w:val="0041512D"/>
    <w:rsid w:val="00415294"/>
    <w:rsid w:val="004157BC"/>
    <w:rsid w:val="004162BC"/>
    <w:rsid w:val="00416BF1"/>
    <w:rsid w:val="0041741C"/>
    <w:rsid w:val="004177CB"/>
    <w:rsid w:val="004178F2"/>
    <w:rsid w:val="00417F7E"/>
    <w:rsid w:val="00420B0E"/>
    <w:rsid w:val="0042100C"/>
    <w:rsid w:val="00422302"/>
    <w:rsid w:val="004233EB"/>
    <w:rsid w:val="004236FE"/>
    <w:rsid w:val="00423721"/>
    <w:rsid w:val="00423CD0"/>
    <w:rsid w:val="00424698"/>
    <w:rsid w:val="00425050"/>
    <w:rsid w:val="004252C3"/>
    <w:rsid w:val="004255A0"/>
    <w:rsid w:val="004255AD"/>
    <w:rsid w:val="004255C3"/>
    <w:rsid w:val="004259FB"/>
    <w:rsid w:val="00426400"/>
    <w:rsid w:val="004265E1"/>
    <w:rsid w:val="00430C9E"/>
    <w:rsid w:val="004321D1"/>
    <w:rsid w:val="00433FD8"/>
    <w:rsid w:val="00435162"/>
    <w:rsid w:val="004355EE"/>
    <w:rsid w:val="00436AD5"/>
    <w:rsid w:val="0043718E"/>
    <w:rsid w:val="004379EB"/>
    <w:rsid w:val="0044015C"/>
    <w:rsid w:val="00440DD6"/>
    <w:rsid w:val="00441119"/>
    <w:rsid w:val="00441E15"/>
    <w:rsid w:val="004420F3"/>
    <w:rsid w:val="0044241B"/>
    <w:rsid w:val="0044241D"/>
    <w:rsid w:val="00442C6B"/>
    <w:rsid w:val="0044329D"/>
    <w:rsid w:val="00444D0D"/>
    <w:rsid w:val="00445760"/>
    <w:rsid w:val="00446583"/>
    <w:rsid w:val="00446B00"/>
    <w:rsid w:val="004476AE"/>
    <w:rsid w:val="00450D9C"/>
    <w:rsid w:val="00452574"/>
    <w:rsid w:val="004527E8"/>
    <w:rsid w:val="00453C90"/>
    <w:rsid w:val="00454AE3"/>
    <w:rsid w:val="00455AD8"/>
    <w:rsid w:val="00457526"/>
    <w:rsid w:val="004579E8"/>
    <w:rsid w:val="00457F15"/>
    <w:rsid w:val="00460909"/>
    <w:rsid w:val="00462795"/>
    <w:rsid w:val="00462A27"/>
    <w:rsid w:val="00462A83"/>
    <w:rsid w:val="00462AC7"/>
    <w:rsid w:val="00463391"/>
    <w:rsid w:val="00465E80"/>
    <w:rsid w:val="004666F5"/>
    <w:rsid w:val="00466C39"/>
    <w:rsid w:val="0046721A"/>
    <w:rsid w:val="004672B1"/>
    <w:rsid w:val="00470165"/>
    <w:rsid w:val="00471140"/>
    <w:rsid w:val="00472A19"/>
    <w:rsid w:val="00472D57"/>
    <w:rsid w:val="00473B7B"/>
    <w:rsid w:val="00473F89"/>
    <w:rsid w:val="00474C8A"/>
    <w:rsid w:val="004753A1"/>
    <w:rsid w:val="00476FB9"/>
    <w:rsid w:val="0047711F"/>
    <w:rsid w:val="00477932"/>
    <w:rsid w:val="00480145"/>
    <w:rsid w:val="00480767"/>
    <w:rsid w:val="00480EDC"/>
    <w:rsid w:val="00480FDE"/>
    <w:rsid w:val="004810C0"/>
    <w:rsid w:val="00481222"/>
    <w:rsid w:val="00481B0D"/>
    <w:rsid w:val="00483087"/>
    <w:rsid w:val="00484D4B"/>
    <w:rsid w:val="004852C6"/>
    <w:rsid w:val="00486ED6"/>
    <w:rsid w:val="00486F96"/>
    <w:rsid w:val="00490377"/>
    <w:rsid w:val="00490A68"/>
    <w:rsid w:val="0049149B"/>
    <w:rsid w:val="0049232B"/>
    <w:rsid w:val="00492CF1"/>
    <w:rsid w:val="004930C4"/>
    <w:rsid w:val="004935D4"/>
    <w:rsid w:val="00494191"/>
    <w:rsid w:val="00495C1A"/>
    <w:rsid w:val="00497DEF"/>
    <w:rsid w:val="004A0089"/>
    <w:rsid w:val="004A0833"/>
    <w:rsid w:val="004A0918"/>
    <w:rsid w:val="004A09CF"/>
    <w:rsid w:val="004A1CC3"/>
    <w:rsid w:val="004A3194"/>
    <w:rsid w:val="004A3BC6"/>
    <w:rsid w:val="004A45E3"/>
    <w:rsid w:val="004A5DB5"/>
    <w:rsid w:val="004A6193"/>
    <w:rsid w:val="004A6DAE"/>
    <w:rsid w:val="004B0285"/>
    <w:rsid w:val="004B039C"/>
    <w:rsid w:val="004B0644"/>
    <w:rsid w:val="004B06B8"/>
    <w:rsid w:val="004B0B91"/>
    <w:rsid w:val="004B2BC7"/>
    <w:rsid w:val="004B2C35"/>
    <w:rsid w:val="004B2C78"/>
    <w:rsid w:val="004B2F8E"/>
    <w:rsid w:val="004B419A"/>
    <w:rsid w:val="004B44B4"/>
    <w:rsid w:val="004B47E9"/>
    <w:rsid w:val="004B5072"/>
    <w:rsid w:val="004B518D"/>
    <w:rsid w:val="004B57F6"/>
    <w:rsid w:val="004B6B6A"/>
    <w:rsid w:val="004C05F5"/>
    <w:rsid w:val="004C0994"/>
    <w:rsid w:val="004C1919"/>
    <w:rsid w:val="004C2B4F"/>
    <w:rsid w:val="004C40F4"/>
    <w:rsid w:val="004C48EE"/>
    <w:rsid w:val="004C4BF1"/>
    <w:rsid w:val="004C5497"/>
    <w:rsid w:val="004C5D2B"/>
    <w:rsid w:val="004C79DA"/>
    <w:rsid w:val="004D1768"/>
    <w:rsid w:val="004D181A"/>
    <w:rsid w:val="004D1AC9"/>
    <w:rsid w:val="004D27FF"/>
    <w:rsid w:val="004D2DD6"/>
    <w:rsid w:val="004D4018"/>
    <w:rsid w:val="004D4A72"/>
    <w:rsid w:val="004D4FC8"/>
    <w:rsid w:val="004D583B"/>
    <w:rsid w:val="004D662B"/>
    <w:rsid w:val="004D6F49"/>
    <w:rsid w:val="004E0989"/>
    <w:rsid w:val="004E1701"/>
    <w:rsid w:val="004E34E2"/>
    <w:rsid w:val="004E36AE"/>
    <w:rsid w:val="004E3C0B"/>
    <w:rsid w:val="004E4469"/>
    <w:rsid w:val="004E4637"/>
    <w:rsid w:val="004E4C32"/>
    <w:rsid w:val="004E57D6"/>
    <w:rsid w:val="004E5D0B"/>
    <w:rsid w:val="004E6979"/>
    <w:rsid w:val="004E6B90"/>
    <w:rsid w:val="004E6E12"/>
    <w:rsid w:val="004E73C7"/>
    <w:rsid w:val="004E783B"/>
    <w:rsid w:val="004E795C"/>
    <w:rsid w:val="004E7BB6"/>
    <w:rsid w:val="004E7DF8"/>
    <w:rsid w:val="004F161A"/>
    <w:rsid w:val="004F196F"/>
    <w:rsid w:val="004F19A5"/>
    <w:rsid w:val="004F2B65"/>
    <w:rsid w:val="004F2E9E"/>
    <w:rsid w:val="004F30DD"/>
    <w:rsid w:val="004F3CAA"/>
    <w:rsid w:val="004F4CA4"/>
    <w:rsid w:val="004F4F26"/>
    <w:rsid w:val="004F4FF7"/>
    <w:rsid w:val="004F5E95"/>
    <w:rsid w:val="004F771C"/>
    <w:rsid w:val="004F77F6"/>
    <w:rsid w:val="004F7CFC"/>
    <w:rsid w:val="005008A8"/>
    <w:rsid w:val="005010A2"/>
    <w:rsid w:val="005012FD"/>
    <w:rsid w:val="00501589"/>
    <w:rsid w:val="0050164A"/>
    <w:rsid w:val="0050308D"/>
    <w:rsid w:val="00503C9A"/>
    <w:rsid w:val="00503F45"/>
    <w:rsid w:val="0050460F"/>
    <w:rsid w:val="00504D93"/>
    <w:rsid w:val="005051D4"/>
    <w:rsid w:val="0050589D"/>
    <w:rsid w:val="00506857"/>
    <w:rsid w:val="00507E32"/>
    <w:rsid w:val="005104C4"/>
    <w:rsid w:val="00511D48"/>
    <w:rsid w:val="00512569"/>
    <w:rsid w:val="005137DD"/>
    <w:rsid w:val="00513CB4"/>
    <w:rsid w:val="005146E2"/>
    <w:rsid w:val="0051536E"/>
    <w:rsid w:val="005155DE"/>
    <w:rsid w:val="00515C0F"/>
    <w:rsid w:val="00515D31"/>
    <w:rsid w:val="00515E10"/>
    <w:rsid w:val="00515F4E"/>
    <w:rsid w:val="0051677D"/>
    <w:rsid w:val="00516F7B"/>
    <w:rsid w:val="00520734"/>
    <w:rsid w:val="00520B22"/>
    <w:rsid w:val="00520E69"/>
    <w:rsid w:val="0052164E"/>
    <w:rsid w:val="00521B65"/>
    <w:rsid w:val="005225FC"/>
    <w:rsid w:val="00523121"/>
    <w:rsid w:val="00524CF5"/>
    <w:rsid w:val="00525FC6"/>
    <w:rsid w:val="005265C7"/>
    <w:rsid w:val="00526BEA"/>
    <w:rsid w:val="00526D2F"/>
    <w:rsid w:val="00526DFF"/>
    <w:rsid w:val="005276B2"/>
    <w:rsid w:val="00527E0D"/>
    <w:rsid w:val="005303FD"/>
    <w:rsid w:val="005308CB"/>
    <w:rsid w:val="00531176"/>
    <w:rsid w:val="00532A2D"/>
    <w:rsid w:val="00532DE4"/>
    <w:rsid w:val="005347E6"/>
    <w:rsid w:val="005352C5"/>
    <w:rsid w:val="00535456"/>
    <w:rsid w:val="0053679C"/>
    <w:rsid w:val="00536DDD"/>
    <w:rsid w:val="00537139"/>
    <w:rsid w:val="00540013"/>
    <w:rsid w:val="00541620"/>
    <w:rsid w:val="00541909"/>
    <w:rsid w:val="00541919"/>
    <w:rsid w:val="00542192"/>
    <w:rsid w:val="00542457"/>
    <w:rsid w:val="00544A88"/>
    <w:rsid w:val="005452DC"/>
    <w:rsid w:val="005453D3"/>
    <w:rsid w:val="00545EDD"/>
    <w:rsid w:val="00546903"/>
    <w:rsid w:val="00547391"/>
    <w:rsid w:val="005477E7"/>
    <w:rsid w:val="00547B38"/>
    <w:rsid w:val="005502C7"/>
    <w:rsid w:val="00550991"/>
    <w:rsid w:val="00551047"/>
    <w:rsid w:val="005528B5"/>
    <w:rsid w:val="005529EE"/>
    <w:rsid w:val="00552E90"/>
    <w:rsid w:val="00553AA0"/>
    <w:rsid w:val="00553FB1"/>
    <w:rsid w:val="00554154"/>
    <w:rsid w:val="0055523C"/>
    <w:rsid w:val="005554BD"/>
    <w:rsid w:val="00555976"/>
    <w:rsid w:val="00555E5B"/>
    <w:rsid w:val="0055622B"/>
    <w:rsid w:val="0055636E"/>
    <w:rsid w:val="0055636F"/>
    <w:rsid w:val="005573F4"/>
    <w:rsid w:val="0056017A"/>
    <w:rsid w:val="00560369"/>
    <w:rsid w:val="0056043E"/>
    <w:rsid w:val="00560C14"/>
    <w:rsid w:val="00560E00"/>
    <w:rsid w:val="005617E4"/>
    <w:rsid w:val="0056216E"/>
    <w:rsid w:val="005625B5"/>
    <w:rsid w:val="00562B37"/>
    <w:rsid w:val="005632F0"/>
    <w:rsid w:val="00563850"/>
    <w:rsid w:val="00563E84"/>
    <w:rsid w:val="00563FC3"/>
    <w:rsid w:val="00564C36"/>
    <w:rsid w:val="00565AB8"/>
    <w:rsid w:val="00565B84"/>
    <w:rsid w:val="00565E33"/>
    <w:rsid w:val="00566D76"/>
    <w:rsid w:val="00566F19"/>
    <w:rsid w:val="005677A7"/>
    <w:rsid w:val="00567B0A"/>
    <w:rsid w:val="00567D1D"/>
    <w:rsid w:val="00567EB1"/>
    <w:rsid w:val="00567F42"/>
    <w:rsid w:val="0057087E"/>
    <w:rsid w:val="00570E3A"/>
    <w:rsid w:val="00571020"/>
    <w:rsid w:val="0057107A"/>
    <w:rsid w:val="00571B05"/>
    <w:rsid w:val="005726FA"/>
    <w:rsid w:val="005729CC"/>
    <w:rsid w:val="005755B6"/>
    <w:rsid w:val="00575673"/>
    <w:rsid w:val="00575971"/>
    <w:rsid w:val="00576CB0"/>
    <w:rsid w:val="005802ED"/>
    <w:rsid w:val="005805C7"/>
    <w:rsid w:val="00580790"/>
    <w:rsid w:val="00580AC1"/>
    <w:rsid w:val="00580D67"/>
    <w:rsid w:val="00581F32"/>
    <w:rsid w:val="005825F4"/>
    <w:rsid w:val="0058331D"/>
    <w:rsid w:val="00584730"/>
    <w:rsid w:val="00584D37"/>
    <w:rsid w:val="00584E03"/>
    <w:rsid w:val="005855F2"/>
    <w:rsid w:val="00585C24"/>
    <w:rsid w:val="00586343"/>
    <w:rsid w:val="00586753"/>
    <w:rsid w:val="00587E54"/>
    <w:rsid w:val="00587F7E"/>
    <w:rsid w:val="0059055D"/>
    <w:rsid w:val="00590C4A"/>
    <w:rsid w:val="00591EA1"/>
    <w:rsid w:val="005920DF"/>
    <w:rsid w:val="00592AB2"/>
    <w:rsid w:val="00592C39"/>
    <w:rsid w:val="0059337A"/>
    <w:rsid w:val="00593C99"/>
    <w:rsid w:val="00595C87"/>
    <w:rsid w:val="00595DE4"/>
    <w:rsid w:val="005960F8"/>
    <w:rsid w:val="0059691D"/>
    <w:rsid w:val="005A0781"/>
    <w:rsid w:val="005A0934"/>
    <w:rsid w:val="005A0A9C"/>
    <w:rsid w:val="005A0FC0"/>
    <w:rsid w:val="005A17E7"/>
    <w:rsid w:val="005A1CA2"/>
    <w:rsid w:val="005A2057"/>
    <w:rsid w:val="005A2C0D"/>
    <w:rsid w:val="005A35CC"/>
    <w:rsid w:val="005A3E30"/>
    <w:rsid w:val="005A3E93"/>
    <w:rsid w:val="005A59AC"/>
    <w:rsid w:val="005A5D6B"/>
    <w:rsid w:val="005A6332"/>
    <w:rsid w:val="005A653F"/>
    <w:rsid w:val="005A700B"/>
    <w:rsid w:val="005A7BAD"/>
    <w:rsid w:val="005A7BC5"/>
    <w:rsid w:val="005B0067"/>
    <w:rsid w:val="005B0330"/>
    <w:rsid w:val="005B20F5"/>
    <w:rsid w:val="005B3240"/>
    <w:rsid w:val="005B3316"/>
    <w:rsid w:val="005B33B4"/>
    <w:rsid w:val="005B39C4"/>
    <w:rsid w:val="005B3A89"/>
    <w:rsid w:val="005B3D81"/>
    <w:rsid w:val="005B3FBD"/>
    <w:rsid w:val="005B41C3"/>
    <w:rsid w:val="005B4353"/>
    <w:rsid w:val="005B5FAF"/>
    <w:rsid w:val="005B616A"/>
    <w:rsid w:val="005B667A"/>
    <w:rsid w:val="005B79D4"/>
    <w:rsid w:val="005C05A7"/>
    <w:rsid w:val="005C05EF"/>
    <w:rsid w:val="005C06FF"/>
    <w:rsid w:val="005C0D79"/>
    <w:rsid w:val="005C0F7D"/>
    <w:rsid w:val="005C2D46"/>
    <w:rsid w:val="005C2DA2"/>
    <w:rsid w:val="005C2F2F"/>
    <w:rsid w:val="005C3206"/>
    <w:rsid w:val="005C33C2"/>
    <w:rsid w:val="005C349B"/>
    <w:rsid w:val="005C3868"/>
    <w:rsid w:val="005C3E9A"/>
    <w:rsid w:val="005C53EB"/>
    <w:rsid w:val="005C6795"/>
    <w:rsid w:val="005C6AA6"/>
    <w:rsid w:val="005C73D2"/>
    <w:rsid w:val="005C791D"/>
    <w:rsid w:val="005C7D76"/>
    <w:rsid w:val="005D1DEA"/>
    <w:rsid w:val="005D1F3D"/>
    <w:rsid w:val="005D1F49"/>
    <w:rsid w:val="005D2066"/>
    <w:rsid w:val="005D32F3"/>
    <w:rsid w:val="005D4532"/>
    <w:rsid w:val="005D5115"/>
    <w:rsid w:val="005D54B3"/>
    <w:rsid w:val="005D5501"/>
    <w:rsid w:val="005D5B24"/>
    <w:rsid w:val="005D62A7"/>
    <w:rsid w:val="005D6C4F"/>
    <w:rsid w:val="005D7183"/>
    <w:rsid w:val="005E0A67"/>
    <w:rsid w:val="005E13E4"/>
    <w:rsid w:val="005E1CCA"/>
    <w:rsid w:val="005E2294"/>
    <w:rsid w:val="005E27B2"/>
    <w:rsid w:val="005E4B6B"/>
    <w:rsid w:val="005E5B79"/>
    <w:rsid w:val="005E6D6C"/>
    <w:rsid w:val="005E6E16"/>
    <w:rsid w:val="005E7725"/>
    <w:rsid w:val="005F0766"/>
    <w:rsid w:val="005F205D"/>
    <w:rsid w:val="005F2D1E"/>
    <w:rsid w:val="005F2F3B"/>
    <w:rsid w:val="005F3909"/>
    <w:rsid w:val="005F59E1"/>
    <w:rsid w:val="005F63AC"/>
    <w:rsid w:val="00600382"/>
    <w:rsid w:val="00600613"/>
    <w:rsid w:val="00600935"/>
    <w:rsid w:val="00600B37"/>
    <w:rsid w:val="00600D6C"/>
    <w:rsid w:val="00603DA6"/>
    <w:rsid w:val="00604A00"/>
    <w:rsid w:val="00604E84"/>
    <w:rsid w:val="006054F9"/>
    <w:rsid w:val="006057C1"/>
    <w:rsid w:val="00606BAD"/>
    <w:rsid w:val="00606C28"/>
    <w:rsid w:val="006123EF"/>
    <w:rsid w:val="00613C00"/>
    <w:rsid w:val="00614E3B"/>
    <w:rsid w:val="00615373"/>
    <w:rsid w:val="006177CF"/>
    <w:rsid w:val="00620A04"/>
    <w:rsid w:val="0062132A"/>
    <w:rsid w:val="006214F1"/>
    <w:rsid w:val="00621E3F"/>
    <w:rsid w:val="006238F6"/>
    <w:rsid w:val="006243E2"/>
    <w:rsid w:val="00624D8E"/>
    <w:rsid w:val="00625AAB"/>
    <w:rsid w:val="00625FED"/>
    <w:rsid w:val="00626650"/>
    <w:rsid w:val="006268F6"/>
    <w:rsid w:val="00626985"/>
    <w:rsid w:val="00626CC4"/>
    <w:rsid w:val="00627BED"/>
    <w:rsid w:val="006301E9"/>
    <w:rsid w:val="006302CC"/>
    <w:rsid w:val="00630337"/>
    <w:rsid w:val="00630C24"/>
    <w:rsid w:val="00630DDB"/>
    <w:rsid w:val="006327BD"/>
    <w:rsid w:val="006338D6"/>
    <w:rsid w:val="00633E06"/>
    <w:rsid w:val="00633E80"/>
    <w:rsid w:val="00635488"/>
    <w:rsid w:val="00636585"/>
    <w:rsid w:val="00636766"/>
    <w:rsid w:val="00640622"/>
    <w:rsid w:val="006412FF"/>
    <w:rsid w:val="00642444"/>
    <w:rsid w:val="00643350"/>
    <w:rsid w:val="006434FB"/>
    <w:rsid w:val="00643E8A"/>
    <w:rsid w:val="00645042"/>
    <w:rsid w:val="0064548B"/>
    <w:rsid w:val="0064548F"/>
    <w:rsid w:val="00647490"/>
    <w:rsid w:val="00647567"/>
    <w:rsid w:val="00650113"/>
    <w:rsid w:val="0065114C"/>
    <w:rsid w:val="00651B0B"/>
    <w:rsid w:val="00651F0A"/>
    <w:rsid w:val="00651F5E"/>
    <w:rsid w:val="00652279"/>
    <w:rsid w:val="0065451D"/>
    <w:rsid w:val="00654EE1"/>
    <w:rsid w:val="006558EA"/>
    <w:rsid w:val="006562D7"/>
    <w:rsid w:val="00656B4C"/>
    <w:rsid w:val="00657105"/>
    <w:rsid w:val="0065718D"/>
    <w:rsid w:val="0065747C"/>
    <w:rsid w:val="00657A45"/>
    <w:rsid w:val="00657BDE"/>
    <w:rsid w:val="006613BE"/>
    <w:rsid w:val="00662C7C"/>
    <w:rsid w:val="00662CB4"/>
    <w:rsid w:val="006633BD"/>
    <w:rsid w:val="00664018"/>
    <w:rsid w:val="006645DF"/>
    <w:rsid w:val="00664C49"/>
    <w:rsid w:val="00666E24"/>
    <w:rsid w:val="00666F2A"/>
    <w:rsid w:val="006671E5"/>
    <w:rsid w:val="00667871"/>
    <w:rsid w:val="00667874"/>
    <w:rsid w:val="0066794D"/>
    <w:rsid w:val="006706B8"/>
    <w:rsid w:val="00670DB0"/>
    <w:rsid w:val="00670E72"/>
    <w:rsid w:val="00671E51"/>
    <w:rsid w:val="0067206D"/>
    <w:rsid w:val="0067225C"/>
    <w:rsid w:val="006724E2"/>
    <w:rsid w:val="00675262"/>
    <w:rsid w:val="0067546C"/>
    <w:rsid w:val="006762DB"/>
    <w:rsid w:val="006765A7"/>
    <w:rsid w:val="00676C44"/>
    <w:rsid w:val="0068063D"/>
    <w:rsid w:val="006811AA"/>
    <w:rsid w:val="00681233"/>
    <w:rsid w:val="006813FD"/>
    <w:rsid w:val="00681448"/>
    <w:rsid w:val="00681F19"/>
    <w:rsid w:val="00682055"/>
    <w:rsid w:val="006823EE"/>
    <w:rsid w:val="00682698"/>
    <w:rsid w:val="006844D2"/>
    <w:rsid w:val="00685003"/>
    <w:rsid w:val="006855A0"/>
    <w:rsid w:val="00687A66"/>
    <w:rsid w:val="006907D9"/>
    <w:rsid w:val="006933B0"/>
    <w:rsid w:val="00693CAF"/>
    <w:rsid w:val="006940F4"/>
    <w:rsid w:val="006945A9"/>
    <w:rsid w:val="00695068"/>
    <w:rsid w:val="006952A1"/>
    <w:rsid w:val="00696185"/>
    <w:rsid w:val="006964CF"/>
    <w:rsid w:val="00696D95"/>
    <w:rsid w:val="00697341"/>
    <w:rsid w:val="00697E09"/>
    <w:rsid w:val="006A0627"/>
    <w:rsid w:val="006A07D7"/>
    <w:rsid w:val="006A2364"/>
    <w:rsid w:val="006A2EB8"/>
    <w:rsid w:val="006A3BAE"/>
    <w:rsid w:val="006A78D7"/>
    <w:rsid w:val="006B03C6"/>
    <w:rsid w:val="006B03FF"/>
    <w:rsid w:val="006B2C82"/>
    <w:rsid w:val="006B3501"/>
    <w:rsid w:val="006B3680"/>
    <w:rsid w:val="006B37C4"/>
    <w:rsid w:val="006B381C"/>
    <w:rsid w:val="006B4286"/>
    <w:rsid w:val="006B5112"/>
    <w:rsid w:val="006B54C9"/>
    <w:rsid w:val="006B6686"/>
    <w:rsid w:val="006B6AB3"/>
    <w:rsid w:val="006B7125"/>
    <w:rsid w:val="006B7434"/>
    <w:rsid w:val="006B7F08"/>
    <w:rsid w:val="006B7F7F"/>
    <w:rsid w:val="006C2C7E"/>
    <w:rsid w:val="006C3755"/>
    <w:rsid w:val="006C41B1"/>
    <w:rsid w:val="006C43E3"/>
    <w:rsid w:val="006C4E6A"/>
    <w:rsid w:val="006C50D2"/>
    <w:rsid w:val="006C5999"/>
    <w:rsid w:val="006C5AF5"/>
    <w:rsid w:val="006C6222"/>
    <w:rsid w:val="006C6432"/>
    <w:rsid w:val="006C656E"/>
    <w:rsid w:val="006C65A8"/>
    <w:rsid w:val="006C7B1F"/>
    <w:rsid w:val="006C7E72"/>
    <w:rsid w:val="006D0FC8"/>
    <w:rsid w:val="006D0FF3"/>
    <w:rsid w:val="006D16DF"/>
    <w:rsid w:val="006D1ACC"/>
    <w:rsid w:val="006D2B17"/>
    <w:rsid w:val="006D2E89"/>
    <w:rsid w:val="006D4A09"/>
    <w:rsid w:val="006D7D66"/>
    <w:rsid w:val="006E08AD"/>
    <w:rsid w:val="006E1083"/>
    <w:rsid w:val="006E1AC2"/>
    <w:rsid w:val="006E1CC7"/>
    <w:rsid w:val="006E1FD9"/>
    <w:rsid w:val="006E2239"/>
    <w:rsid w:val="006E50D8"/>
    <w:rsid w:val="006E5D54"/>
    <w:rsid w:val="006E6727"/>
    <w:rsid w:val="006E7796"/>
    <w:rsid w:val="006E7DC9"/>
    <w:rsid w:val="006F006E"/>
    <w:rsid w:val="006F1292"/>
    <w:rsid w:val="006F5B12"/>
    <w:rsid w:val="006F5B90"/>
    <w:rsid w:val="006F6074"/>
    <w:rsid w:val="006F7549"/>
    <w:rsid w:val="006F78F5"/>
    <w:rsid w:val="006F7C64"/>
    <w:rsid w:val="006F7D12"/>
    <w:rsid w:val="00700223"/>
    <w:rsid w:val="007009BA"/>
    <w:rsid w:val="00701B00"/>
    <w:rsid w:val="007023D5"/>
    <w:rsid w:val="007043FE"/>
    <w:rsid w:val="00704A85"/>
    <w:rsid w:val="00705893"/>
    <w:rsid w:val="00706BFA"/>
    <w:rsid w:val="00706F9A"/>
    <w:rsid w:val="007071F9"/>
    <w:rsid w:val="007075C2"/>
    <w:rsid w:val="007075C7"/>
    <w:rsid w:val="00707773"/>
    <w:rsid w:val="00707962"/>
    <w:rsid w:val="007114CA"/>
    <w:rsid w:val="007114F2"/>
    <w:rsid w:val="00711CF5"/>
    <w:rsid w:val="00712C01"/>
    <w:rsid w:val="00712F6A"/>
    <w:rsid w:val="00713134"/>
    <w:rsid w:val="00713460"/>
    <w:rsid w:val="00714057"/>
    <w:rsid w:val="00714A03"/>
    <w:rsid w:val="00714DB7"/>
    <w:rsid w:val="007152EA"/>
    <w:rsid w:val="0071643C"/>
    <w:rsid w:val="00716E4B"/>
    <w:rsid w:val="007170C8"/>
    <w:rsid w:val="00717F34"/>
    <w:rsid w:val="00720271"/>
    <w:rsid w:val="00720C75"/>
    <w:rsid w:val="00721D7E"/>
    <w:rsid w:val="0072270C"/>
    <w:rsid w:val="007228EB"/>
    <w:rsid w:val="00722D1E"/>
    <w:rsid w:val="00723E18"/>
    <w:rsid w:val="00723E8C"/>
    <w:rsid w:val="00723FB6"/>
    <w:rsid w:val="00724F4B"/>
    <w:rsid w:val="00726022"/>
    <w:rsid w:val="00727089"/>
    <w:rsid w:val="0073083E"/>
    <w:rsid w:val="0073151E"/>
    <w:rsid w:val="007318D5"/>
    <w:rsid w:val="00731B68"/>
    <w:rsid w:val="007320A9"/>
    <w:rsid w:val="007325C2"/>
    <w:rsid w:val="00732FBF"/>
    <w:rsid w:val="0073395D"/>
    <w:rsid w:val="00734567"/>
    <w:rsid w:val="00734639"/>
    <w:rsid w:val="007346C3"/>
    <w:rsid w:val="00735C83"/>
    <w:rsid w:val="00735FEA"/>
    <w:rsid w:val="007362EA"/>
    <w:rsid w:val="0073713A"/>
    <w:rsid w:val="0074069D"/>
    <w:rsid w:val="00740D21"/>
    <w:rsid w:val="0074106C"/>
    <w:rsid w:val="00741518"/>
    <w:rsid w:val="00741AE1"/>
    <w:rsid w:val="007423D2"/>
    <w:rsid w:val="0074242B"/>
    <w:rsid w:val="007425A8"/>
    <w:rsid w:val="00742670"/>
    <w:rsid w:val="00742B6A"/>
    <w:rsid w:val="00743520"/>
    <w:rsid w:val="007439C5"/>
    <w:rsid w:val="00744B4A"/>
    <w:rsid w:val="007455F5"/>
    <w:rsid w:val="00745F7E"/>
    <w:rsid w:val="00750650"/>
    <w:rsid w:val="00750B3D"/>
    <w:rsid w:val="0075122F"/>
    <w:rsid w:val="0075145D"/>
    <w:rsid w:val="0075169E"/>
    <w:rsid w:val="00752744"/>
    <w:rsid w:val="007530A4"/>
    <w:rsid w:val="007531E2"/>
    <w:rsid w:val="00753EE0"/>
    <w:rsid w:val="00755702"/>
    <w:rsid w:val="00755B21"/>
    <w:rsid w:val="00756602"/>
    <w:rsid w:val="00756D49"/>
    <w:rsid w:val="007579D5"/>
    <w:rsid w:val="00757EEB"/>
    <w:rsid w:val="0076315D"/>
    <w:rsid w:val="00763653"/>
    <w:rsid w:val="00763CBF"/>
    <w:rsid w:val="0076491E"/>
    <w:rsid w:val="007651CD"/>
    <w:rsid w:val="00765645"/>
    <w:rsid w:val="00765AD8"/>
    <w:rsid w:val="00765E91"/>
    <w:rsid w:val="00770597"/>
    <w:rsid w:val="00773450"/>
    <w:rsid w:val="00774671"/>
    <w:rsid w:val="00774779"/>
    <w:rsid w:val="007750B2"/>
    <w:rsid w:val="00775385"/>
    <w:rsid w:val="00775ADF"/>
    <w:rsid w:val="00775F22"/>
    <w:rsid w:val="007778E2"/>
    <w:rsid w:val="00777961"/>
    <w:rsid w:val="007807CF"/>
    <w:rsid w:val="00780E48"/>
    <w:rsid w:val="00781894"/>
    <w:rsid w:val="00782ECF"/>
    <w:rsid w:val="00783037"/>
    <w:rsid w:val="007834E3"/>
    <w:rsid w:val="00783F1D"/>
    <w:rsid w:val="0078520A"/>
    <w:rsid w:val="007879AB"/>
    <w:rsid w:val="00790D89"/>
    <w:rsid w:val="0079182E"/>
    <w:rsid w:val="00791A03"/>
    <w:rsid w:val="00791A43"/>
    <w:rsid w:val="00794768"/>
    <w:rsid w:val="00794DC7"/>
    <w:rsid w:val="00795A9F"/>
    <w:rsid w:val="00795ECC"/>
    <w:rsid w:val="007966A4"/>
    <w:rsid w:val="007A1741"/>
    <w:rsid w:val="007A1C09"/>
    <w:rsid w:val="007A1DF6"/>
    <w:rsid w:val="007A247C"/>
    <w:rsid w:val="007A2FE7"/>
    <w:rsid w:val="007A374E"/>
    <w:rsid w:val="007A5772"/>
    <w:rsid w:val="007A6285"/>
    <w:rsid w:val="007A6327"/>
    <w:rsid w:val="007A665F"/>
    <w:rsid w:val="007A74AD"/>
    <w:rsid w:val="007A7503"/>
    <w:rsid w:val="007A78B1"/>
    <w:rsid w:val="007B032F"/>
    <w:rsid w:val="007B0BF7"/>
    <w:rsid w:val="007B254D"/>
    <w:rsid w:val="007B2F86"/>
    <w:rsid w:val="007B3D0C"/>
    <w:rsid w:val="007B4480"/>
    <w:rsid w:val="007B4D3B"/>
    <w:rsid w:val="007B71D7"/>
    <w:rsid w:val="007C0FF7"/>
    <w:rsid w:val="007C2A92"/>
    <w:rsid w:val="007C38F3"/>
    <w:rsid w:val="007C3B04"/>
    <w:rsid w:val="007C3C0E"/>
    <w:rsid w:val="007C40BA"/>
    <w:rsid w:val="007C50B9"/>
    <w:rsid w:val="007C6285"/>
    <w:rsid w:val="007C668A"/>
    <w:rsid w:val="007D0BCA"/>
    <w:rsid w:val="007D1148"/>
    <w:rsid w:val="007D32D7"/>
    <w:rsid w:val="007D38D6"/>
    <w:rsid w:val="007D3B89"/>
    <w:rsid w:val="007D4736"/>
    <w:rsid w:val="007D4CF5"/>
    <w:rsid w:val="007D55E2"/>
    <w:rsid w:val="007D6C42"/>
    <w:rsid w:val="007D6E81"/>
    <w:rsid w:val="007E01F7"/>
    <w:rsid w:val="007E03CF"/>
    <w:rsid w:val="007E12D3"/>
    <w:rsid w:val="007E1816"/>
    <w:rsid w:val="007E25F2"/>
    <w:rsid w:val="007E3C0D"/>
    <w:rsid w:val="007E4480"/>
    <w:rsid w:val="007E4746"/>
    <w:rsid w:val="007E51FF"/>
    <w:rsid w:val="007E5300"/>
    <w:rsid w:val="007E567E"/>
    <w:rsid w:val="007E6F10"/>
    <w:rsid w:val="007E730B"/>
    <w:rsid w:val="007F131A"/>
    <w:rsid w:val="007F23DA"/>
    <w:rsid w:val="007F2653"/>
    <w:rsid w:val="007F3338"/>
    <w:rsid w:val="007F3BF4"/>
    <w:rsid w:val="007F4EF2"/>
    <w:rsid w:val="007F599D"/>
    <w:rsid w:val="007F7B9E"/>
    <w:rsid w:val="0080016B"/>
    <w:rsid w:val="008003B4"/>
    <w:rsid w:val="00801033"/>
    <w:rsid w:val="0080184A"/>
    <w:rsid w:val="00801C62"/>
    <w:rsid w:val="008024E7"/>
    <w:rsid w:val="008026B1"/>
    <w:rsid w:val="008034D4"/>
    <w:rsid w:val="00803B27"/>
    <w:rsid w:val="00803B5C"/>
    <w:rsid w:val="00804251"/>
    <w:rsid w:val="00804D40"/>
    <w:rsid w:val="00805345"/>
    <w:rsid w:val="00806730"/>
    <w:rsid w:val="00806A25"/>
    <w:rsid w:val="00806C88"/>
    <w:rsid w:val="00806E3A"/>
    <w:rsid w:val="008077B4"/>
    <w:rsid w:val="00807D29"/>
    <w:rsid w:val="00810463"/>
    <w:rsid w:val="00811D95"/>
    <w:rsid w:val="0081257B"/>
    <w:rsid w:val="00812F47"/>
    <w:rsid w:val="0081335E"/>
    <w:rsid w:val="0081574B"/>
    <w:rsid w:val="00816743"/>
    <w:rsid w:val="008169E4"/>
    <w:rsid w:val="008175B0"/>
    <w:rsid w:val="00817E5D"/>
    <w:rsid w:val="00820B67"/>
    <w:rsid w:val="00821AAB"/>
    <w:rsid w:val="0082245B"/>
    <w:rsid w:val="00822A0B"/>
    <w:rsid w:val="00822F14"/>
    <w:rsid w:val="0082356A"/>
    <w:rsid w:val="00824E74"/>
    <w:rsid w:val="00826322"/>
    <w:rsid w:val="0082738A"/>
    <w:rsid w:val="008274B6"/>
    <w:rsid w:val="00827CDF"/>
    <w:rsid w:val="00830E67"/>
    <w:rsid w:val="008319DB"/>
    <w:rsid w:val="00831A81"/>
    <w:rsid w:val="00833713"/>
    <w:rsid w:val="00833D3F"/>
    <w:rsid w:val="008340CB"/>
    <w:rsid w:val="00834AE4"/>
    <w:rsid w:val="00834D4A"/>
    <w:rsid w:val="008354A0"/>
    <w:rsid w:val="00835738"/>
    <w:rsid w:val="008362B9"/>
    <w:rsid w:val="00840915"/>
    <w:rsid w:val="008420F6"/>
    <w:rsid w:val="0084229D"/>
    <w:rsid w:val="008423BD"/>
    <w:rsid w:val="008433E3"/>
    <w:rsid w:val="00843A17"/>
    <w:rsid w:val="00843C5D"/>
    <w:rsid w:val="0084428D"/>
    <w:rsid w:val="00844856"/>
    <w:rsid w:val="008457CF"/>
    <w:rsid w:val="00847098"/>
    <w:rsid w:val="00847AEC"/>
    <w:rsid w:val="00851764"/>
    <w:rsid w:val="00851880"/>
    <w:rsid w:val="008538AF"/>
    <w:rsid w:val="00854653"/>
    <w:rsid w:val="00854AE6"/>
    <w:rsid w:val="00855D9C"/>
    <w:rsid w:val="00856588"/>
    <w:rsid w:val="00857EBF"/>
    <w:rsid w:val="0086002E"/>
    <w:rsid w:val="00860A26"/>
    <w:rsid w:val="00860D4D"/>
    <w:rsid w:val="00860DD9"/>
    <w:rsid w:val="00861057"/>
    <w:rsid w:val="0086134B"/>
    <w:rsid w:val="008629D8"/>
    <w:rsid w:val="00863A07"/>
    <w:rsid w:val="00864069"/>
    <w:rsid w:val="0086428B"/>
    <w:rsid w:val="00864F13"/>
    <w:rsid w:val="00866A09"/>
    <w:rsid w:val="00866B39"/>
    <w:rsid w:val="00866E37"/>
    <w:rsid w:val="008677B0"/>
    <w:rsid w:val="00867EE4"/>
    <w:rsid w:val="008704C0"/>
    <w:rsid w:val="00871162"/>
    <w:rsid w:val="00872B9B"/>
    <w:rsid w:val="00872D16"/>
    <w:rsid w:val="00872D76"/>
    <w:rsid w:val="0087375E"/>
    <w:rsid w:val="00873A6C"/>
    <w:rsid w:val="00874D16"/>
    <w:rsid w:val="00874D5B"/>
    <w:rsid w:val="00874D9C"/>
    <w:rsid w:val="008751B7"/>
    <w:rsid w:val="00875CFD"/>
    <w:rsid w:val="008768D0"/>
    <w:rsid w:val="00876FBE"/>
    <w:rsid w:val="00877634"/>
    <w:rsid w:val="0087787F"/>
    <w:rsid w:val="008806E5"/>
    <w:rsid w:val="0088170E"/>
    <w:rsid w:val="00881AA1"/>
    <w:rsid w:val="00882ADA"/>
    <w:rsid w:val="00882F8E"/>
    <w:rsid w:val="0088406B"/>
    <w:rsid w:val="00886126"/>
    <w:rsid w:val="00886E5E"/>
    <w:rsid w:val="00890CC5"/>
    <w:rsid w:val="008917D3"/>
    <w:rsid w:val="008926D8"/>
    <w:rsid w:val="00892B10"/>
    <w:rsid w:val="00892D4C"/>
    <w:rsid w:val="00892D5D"/>
    <w:rsid w:val="00892E21"/>
    <w:rsid w:val="0089349A"/>
    <w:rsid w:val="008954D5"/>
    <w:rsid w:val="00895CB5"/>
    <w:rsid w:val="00896A14"/>
    <w:rsid w:val="008973D9"/>
    <w:rsid w:val="008A0C78"/>
    <w:rsid w:val="008A2432"/>
    <w:rsid w:val="008A248E"/>
    <w:rsid w:val="008A250B"/>
    <w:rsid w:val="008A3104"/>
    <w:rsid w:val="008A395D"/>
    <w:rsid w:val="008A61C5"/>
    <w:rsid w:val="008B266F"/>
    <w:rsid w:val="008B2FC5"/>
    <w:rsid w:val="008B5172"/>
    <w:rsid w:val="008B72F4"/>
    <w:rsid w:val="008B7C96"/>
    <w:rsid w:val="008B7DA0"/>
    <w:rsid w:val="008C1274"/>
    <w:rsid w:val="008C19CA"/>
    <w:rsid w:val="008C4AD6"/>
    <w:rsid w:val="008C4F74"/>
    <w:rsid w:val="008C6207"/>
    <w:rsid w:val="008C7EDD"/>
    <w:rsid w:val="008D06D1"/>
    <w:rsid w:val="008D0732"/>
    <w:rsid w:val="008D19A3"/>
    <w:rsid w:val="008D2398"/>
    <w:rsid w:val="008D282E"/>
    <w:rsid w:val="008D2C9C"/>
    <w:rsid w:val="008D41FE"/>
    <w:rsid w:val="008D5AB3"/>
    <w:rsid w:val="008D624E"/>
    <w:rsid w:val="008D6BEA"/>
    <w:rsid w:val="008D7DF4"/>
    <w:rsid w:val="008E038B"/>
    <w:rsid w:val="008E105B"/>
    <w:rsid w:val="008E2463"/>
    <w:rsid w:val="008E28CC"/>
    <w:rsid w:val="008E3061"/>
    <w:rsid w:val="008E3491"/>
    <w:rsid w:val="008E41A3"/>
    <w:rsid w:val="008E55B0"/>
    <w:rsid w:val="008E5CB9"/>
    <w:rsid w:val="008E690E"/>
    <w:rsid w:val="008E745C"/>
    <w:rsid w:val="008E768E"/>
    <w:rsid w:val="008E7B9B"/>
    <w:rsid w:val="008E7CD1"/>
    <w:rsid w:val="008F1388"/>
    <w:rsid w:val="008F2576"/>
    <w:rsid w:val="008F2BAA"/>
    <w:rsid w:val="008F2FF4"/>
    <w:rsid w:val="008F421B"/>
    <w:rsid w:val="008F44AE"/>
    <w:rsid w:val="008F53EA"/>
    <w:rsid w:val="008F5557"/>
    <w:rsid w:val="008F631F"/>
    <w:rsid w:val="008F6E9A"/>
    <w:rsid w:val="008F72EA"/>
    <w:rsid w:val="008F7720"/>
    <w:rsid w:val="008F7809"/>
    <w:rsid w:val="008F798D"/>
    <w:rsid w:val="00900160"/>
    <w:rsid w:val="009002A3"/>
    <w:rsid w:val="00901104"/>
    <w:rsid w:val="009015FC"/>
    <w:rsid w:val="00901FC4"/>
    <w:rsid w:val="009022A9"/>
    <w:rsid w:val="0090327D"/>
    <w:rsid w:val="00903C8A"/>
    <w:rsid w:val="00905CE3"/>
    <w:rsid w:val="0090739B"/>
    <w:rsid w:val="009076C0"/>
    <w:rsid w:val="00907D85"/>
    <w:rsid w:val="0091092D"/>
    <w:rsid w:val="00910B1B"/>
    <w:rsid w:val="0091157F"/>
    <w:rsid w:val="00912440"/>
    <w:rsid w:val="00913CE6"/>
    <w:rsid w:val="00914518"/>
    <w:rsid w:val="00914E53"/>
    <w:rsid w:val="00915B12"/>
    <w:rsid w:val="00916962"/>
    <w:rsid w:val="00917A68"/>
    <w:rsid w:val="0092088B"/>
    <w:rsid w:val="00920A67"/>
    <w:rsid w:val="00920CA6"/>
    <w:rsid w:val="009211BA"/>
    <w:rsid w:val="00921CDB"/>
    <w:rsid w:val="00922680"/>
    <w:rsid w:val="00923877"/>
    <w:rsid w:val="00923994"/>
    <w:rsid w:val="00923A8E"/>
    <w:rsid w:val="00927545"/>
    <w:rsid w:val="00927C3C"/>
    <w:rsid w:val="00927D92"/>
    <w:rsid w:val="00930A7E"/>
    <w:rsid w:val="009312B0"/>
    <w:rsid w:val="0093213F"/>
    <w:rsid w:val="00932D37"/>
    <w:rsid w:val="00934070"/>
    <w:rsid w:val="009342C2"/>
    <w:rsid w:val="0093516C"/>
    <w:rsid w:val="00936594"/>
    <w:rsid w:val="00936A8D"/>
    <w:rsid w:val="00936F1E"/>
    <w:rsid w:val="00937E93"/>
    <w:rsid w:val="0094037B"/>
    <w:rsid w:val="00940A0B"/>
    <w:rsid w:val="0094271E"/>
    <w:rsid w:val="009427F3"/>
    <w:rsid w:val="00942954"/>
    <w:rsid w:val="00942987"/>
    <w:rsid w:val="00942B4D"/>
    <w:rsid w:val="00942D3F"/>
    <w:rsid w:val="0094365E"/>
    <w:rsid w:val="0094450B"/>
    <w:rsid w:val="00945042"/>
    <w:rsid w:val="009463DE"/>
    <w:rsid w:val="00946AD4"/>
    <w:rsid w:val="00946D62"/>
    <w:rsid w:val="0094750B"/>
    <w:rsid w:val="00947AC3"/>
    <w:rsid w:val="009500BE"/>
    <w:rsid w:val="00950972"/>
    <w:rsid w:val="00950B3B"/>
    <w:rsid w:val="00950DBD"/>
    <w:rsid w:val="00952589"/>
    <w:rsid w:val="009529B0"/>
    <w:rsid w:val="00952F8F"/>
    <w:rsid w:val="00953FA0"/>
    <w:rsid w:val="009554F8"/>
    <w:rsid w:val="009556AA"/>
    <w:rsid w:val="0095670A"/>
    <w:rsid w:val="009577F5"/>
    <w:rsid w:val="0096048F"/>
    <w:rsid w:val="00960AC6"/>
    <w:rsid w:val="00961045"/>
    <w:rsid w:val="00962215"/>
    <w:rsid w:val="009630EB"/>
    <w:rsid w:val="00963102"/>
    <w:rsid w:val="009631F0"/>
    <w:rsid w:val="00963548"/>
    <w:rsid w:val="009635E9"/>
    <w:rsid w:val="00964D7B"/>
    <w:rsid w:val="0096581B"/>
    <w:rsid w:val="00965CCE"/>
    <w:rsid w:val="00966111"/>
    <w:rsid w:val="00967CA9"/>
    <w:rsid w:val="009702C7"/>
    <w:rsid w:val="00970344"/>
    <w:rsid w:val="00970650"/>
    <w:rsid w:val="00971296"/>
    <w:rsid w:val="0097409C"/>
    <w:rsid w:val="00974558"/>
    <w:rsid w:val="009750A4"/>
    <w:rsid w:val="009758C3"/>
    <w:rsid w:val="0097623A"/>
    <w:rsid w:val="00977AD1"/>
    <w:rsid w:val="009800E5"/>
    <w:rsid w:val="00980E1D"/>
    <w:rsid w:val="009812F6"/>
    <w:rsid w:val="00981770"/>
    <w:rsid w:val="00981C3B"/>
    <w:rsid w:val="009839CA"/>
    <w:rsid w:val="00983F40"/>
    <w:rsid w:val="009840A5"/>
    <w:rsid w:val="00984371"/>
    <w:rsid w:val="00984833"/>
    <w:rsid w:val="00984FE8"/>
    <w:rsid w:val="00985149"/>
    <w:rsid w:val="00985DC6"/>
    <w:rsid w:val="00985F1A"/>
    <w:rsid w:val="00985FBC"/>
    <w:rsid w:val="00986A22"/>
    <w:rsid w:val="00986CC5"/>
    <w:rsid w:val="00986F7E"/>
    <w:rsid w:val="00987722"/>
    <w:rsid w:val="00990454"/>
    <w:rsid w:val="009907CB"/>
    <w:rsid w:val="009913DE"/>
    <w:rsid w:val="009928F4"/>
    <w:rsid w:val="009930A5"/>
    <w:rsid w:val="009933A6"/>
    <w:rsid w:val="00993960"/>
    <w:rsid w:val="00993C06"/>
    <w:rsid w:val="00993D4D"/>
    <w:rsid w:val="00993DB5"/>
    <w:rsid w:val="00994EB9"/>
    <w:rsid w:val="0099507A"/>
    <w:rsid w:val="009956A0"/>
    <w:rsid w:val="00995A1C"/>
    <w:rsid w:val="00995A2D"/>
    <w:rsid w:val="00995D97"/>
    <w:rsid w:val="009963B6"/>
    <w:rsid w:val="00996CB4"/>
    <w:rsid w:val="009979D1"/>
    <w:rsid w:val="0099F6DD"/>
    <w:rsid w:val="009A0B4A"/>
    <w:rsid w:val="009A2F6D"/>
    <w:rsid w:val="009A2F7E"/>
    <w:rsid w:val="009A3579"/>
    <w:rsid w:val="009A3C15"/>
    <w:rsid w:val="009A5757"/>
    <w:rsid w:val="009A60E7"/>
    <w:rsid w:val="009A77BE"/>
    <w:rsid w:val="009A7DF3"/>
    <w:rsid w:val="009B1760"/>
    <w:rsid w:val="009B1873"/>
    <w:rsid w:val="009B187A"/>
    <w:rsid w:val="009B1973"/>
    <w:rsid w:val="009B30C0"/>
    <w:rsid w:val="009B33DB"/>
    <w:rsid w:val="009B3E94"/>
    <w:rsid w:val="009B4811"/>
    <w:rsid w:val="009B5D94"/>
    <w:rsid w:val="009B6317"/>
    <w:rsid w:val="009B67A0"/>
    <w:rsid w:val="009C0F06"/>
    <w:rsid w:val="009C1913"/>
    <w:rsid w:val="009C1ACB"/>
    <w:rsid w:val="009C4B8D"/>
    <w:rsid w:val="009C5076"/>
    <w:rsid w:val="009C56B2"/>
    <w:rsid w:val="009C67F3"/>
    <w:rsid w:val="009C71D4"/>
    <w:rsid w:val="009C74C5"/>
    <w:rsid w:val="009D0057"/>
    <w:rsid w:val="009D175F"/>
    <w:rsid w:val="009D1C34"/>
    <w:rsid w:val="009D23A8"/>
    <w:rsid w:val="009D2AD4"/>
    <w:rsid w:val="009D37B1"/>
    <w:rsid w:val="009D3DAE"/>
    <w:rsid w:val="009D4ADF"/>
    <w:rsid w:val="009D4F7B"/>
    <w:rsid w:val="009D50E1"/>
    <w:rsid w:val="009D64B3"/>
    <w:rsid w:val="009D7EEC"/>
    <w:rsid w:val="009E0CEA"/>
    <w:rsid w:val="009E1D3C"/>
    <w:rsid w:val="009E31ED"/>
    <w:rsid w:val="009E38E1"/>
    <w:rsid w:val="009E44BC"/>
    <w:rsid w:val="009E5FA6"/>
    <w:rsid w:val="009E6408"/>
    <w:rsid w:val="009E7651"/>
    <w:rsid w:val="009E76CE"/>
    <w:rsid w:val="009E77F5"/>
    <w:rsid w:val="009F0A67"/>
    <w:rsid w:val="009F27B7"/>
    <w:rsid w:val="009F2908"/>
    <w:rsid w:val="009F40A3"/>
    <w:rsid w:val="009F55EA"/>
    <w:rsid w:val="009F6041"/>
    <w:rsid w:val="009F6927"/>
    <w:rsid w:val="009F6A5B"/>
    <w:rsid w:val="009F7AD6"/>
    <w:rsid w:val="009F7E92"/>
    <w:rsid w:val="00A006FA"/>
    <w:rsid w:val="00A030DE"/>
    <w:rsid w:val="00A03340"/>
    <w:rsid w:val="00A037C6"/>
    <w:rsid w:val="00A046E4"/>
    <w:rsid w:val="00A04BBE"/>
    <w:rsid w:val="00A05255"/>
    <w:rsid w:val="00A05D54"/>
    <w:rsid w:val="00A05DE3"/>
    <w:rsid w:val="00A06BCF"/>
    <w:rsid w:val="00A0795F"/>
    <w:rsid w:val="00A10093"/>
    <w:rsid w:val="00A12188"/>
    <w:rsid w:val="00A1231E"/>
    <w:rsid w:val="00A12F81"/>
    <w:rsid w:val="00A152CC"/>
    <w:rsid w:val="00A1564D"/>
    <w:rsid w:val="00A206D1"/>
    <w:rsid w:val="00A20801"/>
    <w:rsid w:val="00A210B4"/>
    <w:rsid w:val="00A21230"/>
    <w:rsid w:val="00A2139D"/>
    <w:rsid w:val="00A226E3"/>
    <w:rsid w:val="00A23406"/>
    <w:rsid w:val="00A23C09"/>
    <w:rsid w:val="00A23D5D"/>
    <w:rsid w:val="00A243A0"/>
    <w:rsid w:val="00A24457"/>
    <w:rsid w:val="00A24706"/>
    <w:rsid w:val="00A24ABF"/>
    <w:rsid w:val="00A253D4"/>
    <w:rsid w:val="00A255F0"/>
    <w:rsid w:val="00A26B2C"/>
    <w:rsid w:val="00A26B98"/>
    <w:rsid w:val="00A26D6A"/>
    <w:rsid w:val="00A26EFD"/>
    <w:rsid w:val="00A2726A"/>
    <w:rsid w:val="00A27C9D"/>
    <w:rsid w:val="00A300E6"/>
    <w:rsid w:val="00A30997"/>
    <w:rsid w:val="00A30F08"/>
    <w:rsid w:val="00A31083"/>
    <w:rsid w:val="00A31248"/>
    <w:rsid w:val="00A31988"/>
    <w:rsid w:val="00A31F90"/>
    <w:rsid w:val="00A32DA4"/>
    <w:rsid w:val="00A33AF0"/>
    <w:rsid w:val="00A34C0C"/>
    <w:rsid w:val="00A3512D"/>
    <w:rsid w:val="00A35AA9"/>
    <w:rsid w:val="00A35F03"/>
    <w:rsid w:val="00A368AC"/>
    <w:rsid w:val="00A36AEE"/>
    <w:rsid w:val="00A36F34"/>
    <w:rsid w:val="00A37988"/>
    <w:rsid w:val="00A40DA2"/>
    <w:rsid w:val="00A41A8D"/>
    <w:rsid w:val="00A434CF"/>
    <w:rsid w:val="00A434FE"/>
    <w:rsid w:val="00A44385"/>
    <w:rsid w:val="00A4593C"/>
    <w:rsid w:val="00A47283"/>
    <w:rsid w:val="00A47548"/>
    <w:rsid w:val="00A478BA"/>
    <w:rsid w:val="00A49835"/>
    <w:rsid w:val="00A505B6"/>
    <w:rsid w:val="00A508D0"/>
    <w:rsid w:val="00A52039"/>
    <w:rsid w:val="00A52867"/>
    <w:rsid w:val="00A53F33"/>
    <w:rsid w:val="00A54102"/>
    <w:rsid w:val="00A5445E"/>
    <w:rsid w:val="00A54F64"/>
    <w:rsid w:val="00A55715"/>
    <w:rsid w:val="00A55821"/>
    <w:rsid w:val="00A558C6"/>
    <w:rsid w:val="00A568BB"/>
    <w:rsid w:val="00A569B8"/>
    <w:rsid w:val="00A57549"/>
    <w:rsid w:val="00A577D0"/>
    <w:rsid w:val="00A57B6D"/>
    <w:rsid w:val="00A57DAC"/>
    <w:rsid w:val="00A6081C"/>
    <w:rsid w:val="00A60CB8"/>
    <w:rsid w:val="00A633A4"/>
    <w:rsid w:val="00A63D8C"/>
    <w:rsid w:val="00A63E14"/>
    <w:rsid w:val="00A64B7E"/>
    <w:rsid w:val="00A64EB3"/>
    <w:rsid w:val="00A6575C"/>
    <w:rsid w:val="00A65833"/>
    <w:rsid w:val="00A711F5"/>
    <w:rsid w:val="00A7138C"/>
    <w:rsid w:val="00A71730"/>
    <w:rsid w:val="00A71976"/>
    <w:rsid w:val="00A71E83"/>
    <w:rsid w:val="00A71F3B"/>
    <w:rsid w:val="00A7342A"/>
    <w:rsid w:val="00A74D44"/>
    <w:rsid w:val="00A75D01"/>
    <w:rsid w:val="00A770AA"/>
    <w:rsid w:val="00A775B3"/>
    <w:rsid w:val="00A80666"/>
    <w:rsid w:val="00A80AA1"/>
    <w:rsid w:val="00A80D27"/>
    <w:rsid w:val="00A80D2D"/>
    <w:rsid w:val="00A80F82"/>
    <w:rsid w:val="00A82898"/>
    <w:rsid w:val="00A83429"/>
    <w:rsid w:val="00A84014"/>
    <w:rsid w:val="00A844EA"/>
    <w:rsid w:val="00A85199"/>
    <w:rsid w:val="00A852D3"/>
    <w:rsid w:val="00A85AC0"/>
    <w:rsid w:val="00A85AEF"/>
    <w:rsid w:val="00A86B0F"/>
    <w:rsid w:val="00A87D9A"/>
    <w:rsid w:val="00A903E2"/>
    <w:rsid w:val="00A90464"/>
    <w:rsid w:val="00A90A7A"/>
    <w:rsid w:val="00A92776"/>
    <w:rsid w:val="00A9694A"/>
    <w:rsid w:val="00A96981"/>
    <w:rsid w:val="00A97CDE"/>
    <w:rsid w:val="00AA01A4"/>
    <w:rsid w:val="00AA022C"/>
    <w:rsid w:val="00AA02BB"/>
    <w:rsid w:val="00AA0F93"/>
    <w:rsid w:val="00AA0FC5"/>
    <w:rsid w:val="00AA1A57"/>
    <w:rsid w:val="00AA21E4"/>
    <w:rsid w:val="00AA3CAD"/>
    <w:rsid w:val="00AA3D01"/>
    <w:rsid w:val="00AA3E77"/>
    <w:rsid w:val="00AA3E83"/>
    <w:rsid w:val="00AA6460"/>
    <w:rsid w:val="00AA65FF"/>
    <w:rsid w:val="00AA6B0F"/>
    <w:rsid w:val="00AA6B2B"/>
    <w:rsid w:val="00AA7590"/>
    <w:rsid w:val="00AA79BA"/>
    <w:rsid w:val="00AB100B"/>
    <w:rsid w:val="00AB116C"/>
    <w:rsid w:val="00AB1260"/>
    <w:rsid w:val="00AB136F"/>
    <w:rsid w:val="00AB17D1"/>
    <w:rsid w:val="00AB1DF9"/>
    <w:rsid w:val="00AB2EB8"/>
    <w:rsid w:val="00AB4056"/>
    <w:rsid w:val="00AB4F66"/>
    <w:rsid w:val="00AB58F9"/>
    <w:rsid w:val="00AB5C8A"/>
    <w:rsid w:val="00AB6D2F"/>
    <w:rsid w:val="00AB755E"/>
    <w:rsid w:val="00AB7D6A"/>
    <w:rsid w:val="00AC066E"/>
    <w:rsid w:val="00AC13D8"/>
    <w:rsid w:val="00AC23CD"/>
    <w:rsid w:val="00AC3101"/>
    <w:rsid w:val="00AC32A3"/>
    <w:rsid w:val="00AC484B"/>
    <w:rsid w:val="00AC4EA9"/>
    <w:rsid w:val="00AC584C"/>
    <w:rsid w:val="00AC5BB8"/>
    <w:rsid w:val="00AC6300"/>
    <w:rsid w:val="00AC673C"/>
    <w:rsid w:val="00AD0F71"/>
    <w:rsid w:val="00AD128B"/>
    <w:rsid w:val="00AD1CD2"/>
    <w:rsid w:val="00AD1D3E"/>
    <w:rsid w:val="00AD20BD"/>
    <w:rsid w:val="00AD233C"/>
    <w:rsid w:val="00AD23B3"/>
    <w:rsid w:val="00AD39A9"/>
    <w:rsid w:val="00AD5213"/>
    <w:rsid w:val="00AD65FC"/>
    <w:rsid w:val="00AD6D14"/>
    <w:rsid w:val="00AD7133"/>
    <w:rsid w:val="00AD7FEA"/>
    <w:rsid w:val="00AE0872"/>
    <w:rsid w:val="00AE1996"/>
    <w:rsid w:val="00AE2F93"/>
    <w:rsid w:val="00AE3B96"/>
    <w:rsid w:val="00AE3C60"/>
    <w:rsid w:val="00AE42F0"/>
    <w:rsid w:val="00AE5241"/>
    <w:rsid w:val="00AE67A3"/>
    <w:rsid w:val="00AE7BE5"/>
    <w:rsid w:val="00AF10CC"/>
    <w:rsid w:val="00AF168D"/>
    <w:rsid w:val="00AF2331"/>
    <w:rsid w:val="00AF28D3"/>
    <w:rsid w:val="00AF34F5"/>
    <w:rsid w:val="00AF3FF6"/>
    <w:rsid w:val="00AF4D57"/>
    <w:rsid w:val="00AF4FB0"/>
    <w:rsid w:val="00AF50CD"/>
    <w:rsid w:val="00AF53F0"/>
    <w:rsid w:val="00AF5CDE"/>
    <w:rsid w:val="00AF6B12"/>
    <w:rsid w:val="00B00B8C"/>
    <w:rsid w:val="00B019C3"/>
    <w:rsid w:val="00B01DA0"/>
    <w:rsid w:val="00B02806"/>
    <w:rsid w:val="00B05635"/>
    <w:rsid w:val="00B05F84"/>
    <w:rsid w:val="00B07220"/>
    <w:rsid w:val="00B07735"/>
    <w:rsid w:val="00B07D84"/>
    <w:rsid w:val="00B10E47"/>
    <w:rsid w:val="00B111B0"/>
    <w:rsid w:val="00B11823"/>
    <w:rsid w:val="00B11F94"/>
    <w:rsid w:val="00B11FBC"/>
    <w:rsid w:val="00B12666"/>
    <w:rsid w:val="00B127A5"/>
    <w:rsid w:val="00B13470"/>
    <w:rsid w:val="00B144D5"/>
    <w:rsid w:val="00B149AD"/>
    <w:rsid w:val="00B15A4D"/>
    <w:rsid w:val="00B1676E"/>
    <w:rsid w:val="00B171F6"/>
    <w:rsid w:val="00B1F83D"/>
    <w:rsid w:val="00B201E9"/>
    <w:rsid w:val="00B20434"/>
    <w:rsid w:val="00B20967"/>
    <w:rsid w:val="00B221F3"/>
    <w:rsid w:val="00B223B8"/>
    <w:rsid w:val="00B232E3"/>
    <w:rsid w:val="00B236F2"/>
    <w:rsid w:val="00B23A52"/>
    <w:rsid w:val="00B23EED"/>
    <w:rsid w:val="00B24758"/>
    <w:rsid w:val="00B24838"/>
    <w:rsid w:val="00B24EBE"/>
    <w:rsid w:val="00B25059"/>
    <w:rsid w:val="00B261F8"/>
    <w:rsid w:val="00B267AF"/>
    <w:rsid w:val="00B27253"/>
    <w:rsid w:val="00B27343"/>
    <w:rsid w:val="00B30C6D"/>
    <w:rsid w:val="00B3156A"/>
    <w:rsid w:val="00B32164"/>
    <w:rsid w:val="00B32891"/>
    <w:rsid w:val="00B329BE"/>
    <w:rsid w:val="00B32C23"/>
    <w:rsid w:val="00B33476"/>
    <w:rsid w:val="00B34456"/>
    <w:rsid w:val="00B35803"/>
    <w:rsid w:val="00B37402"/>
    <w:rsid w:val="00B37611"/>
    <w:rsid w:val="00B41478"/>
    <w:rsid w:val="00B4268B"/>
    <w:rsid w:val="00B43331"/>
    <w:rsid w:val="00B43B27"/>
    <w:rsid w:val="00B43DA3"/>
    <w:rsid w:val="00B44C07"/>
    <w:rsid w:val="00B45667"/>
    <w:rsid w:val="00B459B1"/>
    <w:rsid w:val="00B46586"/>
    <w:rsid w:val="00B46B67"/>
    <w:rsid w:val="00B4745C"/>
    <w:rsid w:val="00B508CE"/>
    <w:rsid w:val="00B50ED7"/>
    <w:rsid w:val="00B520D2"/>
    <w:rsid w:val="00B523B6"/>
    <w:rsid w:val="00B5249F"/>
    <w:rsid w:val="00B52F71"/>
    <w:rsid w:val="00B52FF9"/>
    <w:rsid w:val="00B54A14"/>
    <w:rsid w:val="00B55ABD"/>
    <w:rsid w:val="00B60BB7"/>
    <w:rsid w:val="00B628F2"/>
    <w:rsid w:val="00B62F63"/>
    <w:rsid w:val="00B63757"/>
    <w:rsid w:val="00B63BEF"/>
    <w:rsid w:val="00B644E3"/>
    <w:rsid w:val="00B64694"/>
    <w:rsid w:val="00B64D4D"/>
    <w:rsid w:val="00B65341"/>
    <w:rsid w:val="00B6596D"/>
    <w:rsid w:val="00B65DEF"/>
    <w:rsid w:val="00B66F60"/>
    <w:rsid w:val="00B67E63"/>
    <w:rsid w:val="00B710B6"/>
    <w:rsid w:val="00B71409"/>
    <w:rsid w:val="00B71813"/>
    <w:rsid w:val="00B735C9"/>
    <w:rsid w:val="00B74093"/>
    <w:rsid w:val="00B7470C"/>
    <w:rsid w:val="00B74B84"/>
    <w:rsid w:val="00B77B16"/>
    <w:rsid w:val="00B77F67"/>
    <w:rsid w:val="00B8078F"/>
    <w:rsid w:val="00B8108D"/>
    <w:rsid w:val="00B816A6"/>
    <w:rsid w:val="00B81A64"/>
    <w:rsid w:val="00B81B96"/>
    <w:rsid w:val="00B81B97"/>
    <w:rsid w:val="00B825FC"/>
    <w:rsid w:val="00B83A2F"/>
    <w:rsid w:val="00B841F2"/>
    <w:rsid w:val="00B84F8E"/>
    <w:rsid w:val="00B8586C"/>
    <w:rsid w:val="00B867CE"/>
    <w:rsid w:val="00B8764A"/>
    <w:rsid w:val="00B87741"/>
    <w:rsid w:val="00B87AFD"/>
    <w:rsid w:val="00B9076B"/>
    <w:rsid w:val="00B90ABB"/>
    <w:rsid w:val="00B90E1F"/>
    <w:rsid w:val="00B9139D"/>
    <w:rsid w:val="00B914F3"/>
    <w:rsid w:val="00B9154A"/>
    <w:rsid w:val="00B9183A"/>
    <w:rsid w:val="00B9215E"/>
    <w:rsid w:val="00B924C2"/>
    <w:rsid w:val="00B953CB"/>
    <w:rsid w:val="00B95719"/>
    <w:rsid w:val="00B976AC"/>
    <w:rsid w:val="00BA02DD"/>
    <w:rsid w:val="00BA0422"/>
    <w:rsid w:val="00BA08CC"/>
    <w:rsid w:val="00BA2294"/>
    <w:rsid w:val="00BA23AE"/>
    <w:rsid w:val="00BA44F6"/>
    <w:rsid w:val="00BA5A07"/>
    <w:rsid w:val="00BA5D23"/>
    <w:rsid w:val="00BA5E2C"/>
    <w:rsid w:val="00BA60F7"/>
    <w:rsid w:val="00BA6674"/>
    <w:rsid w:val="00BA764F"/>
    <w:rsid w:val="00BA7AB6"/>
    <w:rsid w:val="00BB12AF"/>
    <w:rsid w:val="00BB1748"/>
    <w:rsid w:val="00BB22A4"/>
    <w:rsid w:val="00BB276F"/>
    <w:rsid w:val="00BB2AB9"/>
    <w:rsid w:val="00BB3A69"/>
    <w:rsid w:val="00BB6576"/>
    <w:rsid w:val="00BC09F4"/>
    <w:rsid w:val="00BC0CB8"/>
    <w:rsid w:val="00BC1645"/>
    <w:rsid w:val="00BC3DA2"/>
    <w:rsid w:val="00BC4312"/>
    <w:rsid w:val="00BC44C8"/>
    <w:rsid w:val="00BC49C5"/>
    <w:rsid w:val="00BC49CF"/>
    <w:rsid w:val="00BC4EF4"/>
    <w:rsid w:val="00BC5620"/>
    <w:rsid w:val="00BC5F70"/>
    <w:rsid w:val="00BC60FC"/>
    <w:rsid w:val="00BD025C"/>
    <w:rsid w:val="00BD06F4"/>
    <w:rsid w:val="00BD0A45"/>
    <w:rsid w:val="00BD143A"/>
    <w:rsid w:val="00BD1608"/>
    <w:rsid w:val="00BD1D80"/>
    <w:rsid w:val="00BD2132"/>
    <w:rsid w:val="00BD2945"/>
    <w:rsid w:val="00BD3366"/>
    <w:rsid w:val="00BD341C"/>
    <w:rsid w:val="00BD4291"/>
    <w:rsid w:val="00BD4462"/>
    <w:rsid w:val="00BD49CE"/>
    <w:rsid w:val="00BD4AD8"/>
    <w:rsid w:val="00BD5172"/>
    <w:rsid w:val="00BD62F9"/>
    <w:rsid w:val="00BD7176"/>
    <w:rsid w:val="00BD71F6"/>
    <w:rsid w:val="00BD754F"/>
    <w:rsid w:val="00BD78DF"/>
    <w:rsid w:val="00BE23D8"/>
    <w:rsid w:val="00BE2BD8"/>
    <w:rsid w:val="00BE3253"/>
    <w:rsid w:val="00BE3430"/>
    <w:rsid w:val="00BE395A"/>
    <w:rsid w:val="00BE484D"/>
    <w:rsid w:val="00BE5F93"/>
    <w:rsid w:val="00BE609B"/>
    <w:rsid w:val="00BE6D2E"/>
    <w:rsid w:val="00BF01BA"/>
    <w:rsid w:val="00BF01C4"/>
    <w:rsid w:val="00BF0CAC"/>
    <w:rsid w:val="00BF133C"/>
    <w:rsid w:val="00BF2191"/>
    <w:rsid w:val="00BF34FD"/>
    <w:rsid w:val="00BF42C1"/>
    <w:rsid w:val="00BF4713"/>
    <w:rsid w:val="00BF4D41"/>
    <w:rsid w:val="00BF7026"/>
    <w:rsid w:val="00BF7110"/>
    <w:rsid w:val="00BF7782"/>
    <w:rsid w:val="00C003B0"/>
    <w:rsid w:val="00C006CE"/>
    <w:rsid w:val="00C009F5"/>
    <w:rsid w:val="00C019DA"/>
    <w:rsid w:val="00C021FE"/>
    <w:rsid w:val="00C0306F"/>
    <w:rsid w:val="00C04140"/>
    <w:rsid w:val="00C04192"/>
    <w:rsid w:val="00C056CC"/>
    <w:rsid w:val="00C05752"/>
    <w:rsid w:val="00C05C52"/>
    <w:rsid w:val="00C05F1C"/>
    <w:rsid w:val="00C06A79"/>
    <w:rsid w:val="00C06C84"/>
    <w:rsid w:val="00C10949"/>
    <w:rsid w:val="00C10E90"/>
    <w:rsid w:val="00C114FC"/>
    <w:rsid w:val="00C115D2"/>
    <w:rsid w:val="00C1173C"/>
    <w:rsid w:val="00C118AE"/>
    <w:rsid w:val="00C12C74"/>
    <w:rsid w:val="00C12EAB"/>
    <w:rsid w:val="00C130F4"/>
    <w:rsid w:val="00C1327F"/>
    <w:rsid w:val="00C14393"/>
    <w:rsid w:val="00C14942"/>
    <w:rsid w:val="00C157B4"/>
    <w:rsid w:val="00C17647"/>
    <w:rsid w:val="00C21273"/>
    <w:rsid w:val="00C21A6A"/>
    <w:rsid w:val="00C21B69"/>
    <w:rsid w:val="00C22A98"/>
    <w:rsid w:val="00C230A2"/>
    <w:rsid w:val="00C232B7"/>
    <w:rsid w:val="00C24C16"/>
    <w:rsid w:val="00C2507E"/>
    <w:rsid w:val="00C25A4D"/>
    <w:rsid w:val="00C26900"/>
    <w:rsid w:val="00C26CED"/>
    <w:rsid w:val="00C27D5B"/>
    <w:rsid w:val="00C3000B"/>
    <w:rsid w:val="00C3046A"/>
    <w:rsid w:val="00C3063C"/>
    <w:rsid w:val="00C314A2"/>
    <w:rsid w:val="00C31ED2"/>
    <w:rsid w:val="00C32284"/>
    <w:rsid w:val="00C3238F"/>
    <w:rsid w:val="00C32A5E"/>
    <w:rsid w:val="00C32B2C"/>
    <w:rsid w:val="00C3316E"/>
    <w:rsid w:val="00C33CD0"/>
    <w:rsid w:val="00C33DBE"/>
    <w:rsid w:val="00C3455B"/>
    <w:rsid w:val="00C350CD"/>
    <w:rsid w:val="00C36064"/>
    <w:rsid w:val="00C36BF7"/>
    <w:rsid w:val="00C40AB2"/>
    <w:rsid w:val="00C40EB9"/>
    <w:rsid w:val="00C410A3"/>
    <w:rsid w:val="00C426AF"/>
    <w:rsid w:val="00C42C0D"/>
    <w:rsid w:val="00C42CBC"/>
    <w:rsid w:val="00C4371A"/>
    <w:rsid w:val="00C442FF"/>
    <w:rsid w:val="00C44668"/>
    <w:rsid w:val="00C45B53"/>
    <w:rsid w:val="00C45FCF"/>
    <w:rsid w:val="00C464F6"/>
    <w:rsid w:val="00C468A8"/>
    <w:rsid w:val="00C46C93"/>
    <w:rsid w:val="00C50EF9"/>
    <w:rsid w:val="00C51C0A"/>
    <w:rsid w:val="00C52665"/>
    <w:rsid w:val="00C52D1F"/>
    <w:rsid w:val="00C53E2C"/>
    <w:rsid w:val="00C55726"/>
    <w:rsid w:val="00C55ACE"/>
    <w:rsid w:val="00C5602A"/>
    <w:rsid w:val="00C574E3"/>
    <w:rsid w:val="00C656B6"/>
    <w:rsid w:val="00C65956"/>
    <w:rsid w:val="00C659FF"/>
    <w:rsid w:val="00C66E96"/>
    <w:rsid w:val="00C673F9"/>
    <w:rsid w:val="00C67445"/>
    <w:rsid w:val="00C67846"/>
    <w:rsid w:val="00C67B37"/>
    <w:rsid w:val="00C67E2C"/>
    <w:rsid w:val="00C71C72"/>
    <w:rsid w:val="00C71ED3"/>
    <w:rsid w:val="00C72592"/>
    <w:rsid w:val="00C72AD6"/>
    <w:rsid w:val="00C72AD8"/>
    <w:rsid w:val="00C73DD7"/>
    <w:rsid w:val="00C7410E"/>
    <w:rsid w:val="00C74737"/>
    <w:rsid w:val="00C74820"/>
    <w:rsid w:val="00C74CD9"/>
    <w:rsid w:val="00C75083"/>
    <w:rsid w:val="00C766DA"/>
    <w:rsid w:val="00C77EE2"/>
    <w:rsid w:val="00C80139"/>
    <w:rsid w:val="00C82626"/>
    <w:rsid w:val="00C8341E"/>
    <w:rsid w:val="00C840AC"/>
    <w:rsid w:val="00C850D9"/>
    <w:rsid w:val="00C858D9"/>
    <w:rsid w:val="00C85E94"/>
    <w:rsid w:val="00C863A4"/>
    <w:rsid w:val="00C86D44"/>
    <w:rsid w:val="00C87A2C"/>
    <w:rsid w:val="00C87F02"/>
    <w:rsid w:val="00C9011E"/>
    <w:rsid w:val="00C90132"/>
    <w:rsid w:val="00C90DC4"/>
    <w:rsid w:val="00C91783"/>
    <w:rsid w:val="00C9179C"/>
    <w:rsid w:val="00C918A0"/>
    <w:rsid w:val="00C93124"/>
    <w:rsid w:val="00C9340C"/>
    <w:rsid w:val="00C94132"/>
    <w:rsid w:val="00C95573"/>
    <w:rsid w:val="00C958E8"/>
    <w:rsid w:val="00C95EDA"/>
    <w:rsid w:val="00C96E70"/>
    <w:rsid w:val="00C97C18"/>
    <w:rsid w:val="00CA027D"/>
    <w:rsid w:val="00CA0BDD"/>
    <w:rsid w:val="00CA284A"/>
    <w:rsid w:val="00CA2AE2"/>
    <w:rsid w:val="00CA32B7"/>
    <w:rsid w:val="00CA3AFF"/>
    <w:rsid w:val="00CA5957"/>
    <w:rsid w:val="00CA7333"/>
    <w:rsid w:val="00CA7D55"/>
    <w:rsid w:val="00CB0232"/>
    <w:rsid w:val="00CB024F"/>
    <w:rsid w:val="00CB09DD"/>
    <w:rsid w:val="00CB0E75"/>
    <w:rsid w:val="00CB131E"/>
    <w:rsid w:val="00CB1D4A"/>
    <w:rsid w:val="00CB1FFD"/>
    <w:rsid w:val="00CB2205"/>
    <w:rsid w:val="00CB3840"/>
    <w:rsid w:val="00CB4270"/>
    <w:rsid w:val="00CB4721"/>
    <w:rsid w:val="00CB5181"/>
    <w:rsid w:val="00CB58A4"/>
    <w:rsid w:val="00CB5B39"/>
    <w:rsid w:val="00CB618F"/>
    <w:rsid w:val="00CB649C"/>
    <w:rsid w:val="00CB6FB5"/>
    <w:rsid w:val="00CB7813"/>
    <w:rsid w:val="00CB7850"/>
    <w:rsid w:val="00CB7B3B"/>
    <w:rsid w:val="00CC026C"/>
    <w:rsid w:val="00CC0291"/>
    <w:rsid w:val="00CC1668"/>
    <w:rsid w:val="00CC195D"/>
    <w:rsid w:val="00CC21F3"/>
    <w:rsid w:val="00CC2373"/>
    <w:rsid w:val="00CC2D3E"/>
    <w:rsid w:val="00CC4169"/>
    <w:rsid w:val="00CC56F9"/>
    <w:rsid w:val="00CC6402"/>
    <w:rsid w:val="00CCADF2"/>
    <w:rsid w:val="00CD02C4"/>
    <w:rsid w:val="00CD03C1"/>
    <w:rsid w:val="00CD128A"/>
    <w:rsid w:val="00CD1A25"/>
    <w:rsid w:val="00CD27D1"/>
    <w:rsid w:val="00CD3DC1"/>
    <w:rsid w:val="00CD4009"/>
    <w:rsid w:val="00CD453C"/>
    <w:rsid w:val="00CD453F"/>
    <w:rsid w:val="00CD556E"/>
    <w:rsid w:val="00CD5740"/>
    <w:rsid w:val="00CD634A"/>
    <w:rsid w:val="00CD7CF8"/>
    <w:rsid w:val="00CE02D7"/>
    <w:rsid w:val="00CE06AC"/>
    <w:rsid w:val="00CE099C"/>
    <w:rsid w:val="00CE0AA1"/>
    <w:rsid w:val="00CE1709"/>
    <w:rsid w:val="00CE3809"/>
    <w:rsid w:val="00CE52A7"/>
    <w:rsid w:val="00CE6ACA"/>
    <w:rsid w:val="00CE7083"/>
    <w:rsid w:val="00CE74A0"/>
    <w:rsid w:val="00CE752B"/>
    <w:rsid w:val="00CE7994"/>
    <w:rsid w:val="00CE7E9A"/>
    <w:rsid w:val="00CF057B"/>
    <w:rsid w:val="00CF0930"/>
    <w:rsid w:val="00CF0E02"/>
    <w:rsid w:val="00CF0E6C"/>
    <w:rsid w:val="00CF16EE"/>
    <w:rsid w:val="00CF2DE8"/>
    <w:rsid w:val="00CF6A17"/>
    <w:rsid w:val="00CF7897"/>
    <w:rsid w:val="00D00099"/>
    <w:rsid w:val="00D00326"/>
    <w:rsid w:val="00D00D79"/>
    <w:rsid w:val="00D0107E"/>
    <w:rsid w:val="00D01A1A"/>
    <w:rsid w:val="00D03497"/>
    <w:rsid w:val="00D04136"/>
    <w:rsid w:val="00D0420F"/>
    <w:rsid w:val="00D06A54"/>
    <w:rsid w:val="00D10EE1"/>
    <w:rsid w:val="00D13747"/>
    <w:rsid w:val="00D13E22"/>
    <w:rsid w:val="00D1439D"/>
    <w:rsid w:val="00D161F7"/>
    <w:rsid w:val="00D16527"/>
    <w:rsid w:val="00D1776E"/>
    <w:rsid w:val="00D17A44"/>
    <w:rsid w:val="00D200F6"/>
    <w:rsid w:val="00D2042B"/>
    <w:rsid w:val="00D20CA8"/>
    <w:rsid w:val="00D20CF2"/>
    <w:rsid w:val="00D20F33"/>
    <w:rsid w:val="00D21C5B"/>
    <w:rsid w:val="00D21FD6"/>
    <w:rsid w:val="00D225CD"/>
    <w:rsid w:val="00D234D3"/>
    <w:rsid w:val="00D23FD2"/>
    <w:rsid w:val="00D24CE6"/>
    <w:rsid w:val="00D25C69"/>
    <w:rsid w:val="00D26DD6"/>
    <w:rsid w:val="00D2739B"/>
    <w:rsid w:val="00D30AE8"/>
    <w:rsid w:val="00D312F5"/>
    <w:rsid w:val="00D3135E"/>
    <w:rsid w:val="00D31770"/>
    <w:rsid w:val="00D31C1B"/>
    <w:rsid w:val="00D31FD5"/>
    <w:rsid w:val="00D32184"/>
    <w:rsid w:val="00D322B8"/>
    <w:rsid w:val="00D350A5"/>
    <w:rsid w:val="00D35EC7"/>
    <w:rsid w:val="00D35FB5"/>
    <w:rsid w:val="00D36CAE"/>
    <w:rsid w:val="00D3714B"/>
    <w:rsid w:val="00D376B0"/>
    <w:rsid w:val="00D40A6C"/>
    <w:rsid w:val="00D41227"/>
    <w:rsid w:val="00D41D08"/>
    <w:rsid w:val="00D4284E"/>
    <w:rsid w:val="00D42AE6"/>
    <w:rsid w:val="00D4300A"/>
    <w:rsid w:val="00D435D0"/>
    <w:rsid w:val="00D439B8"/>
    <w:rsid w:val="00D4495E"/>
    <w:rsid w:val="00D44F2C"/>
    <w:rsid w:val="00D452EB"/>
    <w:rsid w:val="00D459D0"/>
    <w:rsid w:val="00D463F7"/>
    <w:rsid w:val="00D469F5"/>
    <w:rsid w:val="00D47C65"/>
    <w:rsid w:val="00D5029B"/>
    <w:rsid w:val="00D50EFB"/>
    <w:rsid w:val="00D51C1A"/>
    <w:rsid w:val="00D51FB4"/>
    <w:rsid w:val="00D52449"/>
    <w:rsid w:val="00D53F67"/>
    <w:rsid w:val="00D54455"/>
    <w:rsid w:val="00D553F6"/>
    <w:rsid w:val="00D554F0"/>
    <w:rsid w:val="00D55BAA"/>
    <w:rsid w:val="00D55E00"/>
    <w:rsid w:val="00D57CE6"/>
    <w:rsid w:val="00D6044B"/>
    <w:rsid w:val="00D60849"/>
    <w:rsid w:val="00D60C0A"/>
    <w:rsid w:val="00D60CBC"/>
    <w:rsid w:val="00D61228"/>
    <w:rsid w:val="00D61268"/>
    <w:rsid w:val="00D63B34"/>
    <w:rsid w:val="00D642D1"/>
    <w:rsid w:val="00D64404"/>
    <w:rsid w:val="00D647A5"/>
    <w:rsid w:val="00D65F73"/>
    <w:rsid w:val="00D66264"/>
    <w:rsid w:val="00D66AA1"/>
    <w:rsid w:val="00D66D34"/>
    <w:rsid w:val="00D70276"/>
    <w:rsid w:val="00D7051D"/>
    <w:rsid w:val="00D70B85"/>
    <w:rsid w:val="00D71A45"/>
    <w:rsid w:val="00D72014"/>
    <w:rsid w:val="00D72C3F"/>
    <w:rsid w:val="00D72D11"/>
    <w:rsid w:val="00D734C8"/>
    <w:rsid w:val="00D7406B"/>
    <w:rsid w:val="00D740C4"/>
    <w:rsid w:val="00D74759"/>
    <w:rsid w:val="00D74843"/>
    <w:rsid w:val="00D74A63"/>
    <w:rsid w:val="00D75057"/>
    <w:rsid w:val="00D75EBA"/>
    <w:rsid w:val="00D76B88"/>
    <w:rsid w:val="00D77477"/>
    <w:rsid w:val="00D77633"/>
    <w:rsid w:val="00D8155C"/>
    <w:rsid w:val="00D836C5"/>
    <w:rsid w:val="00D85748"/>
    <w:rsid w:val="00D85A03"/>
    <w:rsid w:val="00D85B2B"/>
    <w:rsid w:val="00D85C8D"/>
    <w:rsid w:val="00D85D65"/>
    <w:rsid w:val="00D86388"/>
    <w:rsid w:val="00D90D3C"/>
    <w:rsid w:val="00D91547"/>
    <w:rsid w:val="00D92382"/>
    <w:rsid w:val="00D923CD"/>
    <w:rsid w:val="00D92914"/>
    <w:rsid w:val="00D92A91"/>
    <w:rsid w:val="00D937BA"/>
    <w:rsid w:val="00D939F6"/>
    <w:rsid w:val="00D9495E"/>
    <w:rsid w:val="00D95C48"/>
    <w:rsid w:val="00D96CF9"/>
    <w:rsid w:val="00D97B80"/>
    <w:rsid w:val="00D97CBA"/>
    <w:rsid w:val="00DA09D1"/>
    <w:rsid w:val="00DA1359"/>
    <w:rsid w:val="00DA1728"/>
    <w:rsid w:val="00DA1DFD"/>
    <w:rsid w:val="00DA2748"/>
    <w:rsid w:val="00DA2A68"/>
    <w:rsid w:val="00DA30FE"/>
    <w:rsid w:val="00DA49CF"/>
    <w:rsid w:val="00DA5CFE"/>
    <w:rsid w:val="00DA777E"/>
    <w:rsid w:val="00DA7F48"/>
    <w:rsid w:val="00DB076C"/>
    <w:rsid w:val="00DB157A"/>
    <w:rsid w:val="00DB1BB7"/>
    <w:rsid w:val="00DB296F"/>
    <w:rsid w:val="00DB4066"/>
    <w:rsid w:val="00DB43D2"/>
    <w:rsid w:val="00DB444D"/>
    <w:rsid w:val="00DB53CF"/>
    <w:rsid w:val="00DB615B"/>
    <w:rsid w:val="00DB63D2"/>
    <w:rsid w:val="00DB6A2C"/>
    <w:rsid w:val="00DB7014"/>
    <w:rsid w:val="00DB74F6"/>
    <w:rsid w:val="00DB7539"/>
    <w:rsid w:val="00DB7681"/>
    <w:rsid w:val="00DB79CC"/>
    <w:rsid w:val="00DB7D0C"/>
    <w:rsid w:val="00DB7DE5"/>
    <w:rsid w:val="00DC035F"/>
    <w:rsid w:val="00DC227A"/>
    <w:rsid w:val="00DC25AE"/>
    <w:rsid w:val="00DC2C18"/>
    <w:rsid w:val="00DC3093"/>
    <w:rsid w:val="00DC34C3"/>
    <w:rsid w:val="00DC3716"/>
    <w:rsid w:val="00DC5B92"/>
    <w:rsid w:val="00DC5DEA"/>
    <w:rsid w:val="00DC661D"/>
    <w:rsid w:val="00DC6A26"/>
    <w:rsid w:val="00DC6AB1"/>
    <w:rsid w:val="00DC6DAA"/>
    <w:rsid w:val="00DC7B8C"/>
    <w:rsid w:val="00DD0359"/>
    <w:rsid w:val="00DD31B5"/>
    <w:rsid w:val="00DD35D4"/>
    <w:rsid w:val="00DD4131"/>
    <w:rsid w:val="00DD482F"/>
    <w:rsid w:val="00DD53D6"/>
    <w:rsid w:val="00DD561F"/>
    <w:rsid w:val="00DD5ECE"/>
    <w:rsid w:val="00DD754F"/>
    <w:rsid w:val="00DE0E2E"/>
    <w:rsid w:val="00DE1CE9"/>
    <w:rsid w:val="00DE2406"/>
    <w:rsid w:val="00DE35C5"/>
    <w:rsid w:val="00DE3966"/>
    <w:rsid w:val="00DE3D2D"/>
    <w:rsid w:val="00DE3FBD"/>
    <w:rsid w:val="00DE4388"/>
    <w:rsid w:val="00DE4435"/>
    <w:rsid w:val="00DE473E"/>
    <w:rsid w:val="00DE49F6"/>
    <w:rsid w:val="00DE6CDF"/>
    <w:rsid w:val="00DF00B0"/>
    <w:rsid w:val="00DF0BAB"/>
    <w:rsid w:val="00DF15FB"/>
    <w:rsid w:val="00DF201A"/>
    <w:rsid w:val="00DF21F1"/>
    <w:rsid w:val="00DF3B4E"/>
    <w:rsid w:val="00DF607C"/>
    <w:rsid w:val="00DF6A3E"/>
    <w:rsid w:val="00E00171"/>
    <w:rsid w:val="00E005F8"/>
    <w:rsid w:val="00E00D26"/>
    <w:rsid w:val="00E01683"/>
    <w:rsid w:val="00E03079"/>
    <w:rsid w:val="00E0323C"/>
    <w:rsid w:val="00E03E70"/>
    <w:rsid w:val="00E04110"/>
    <w:rsid w:val="00E04438"/>
    <w:rsid w:val="00E0452D"/>
    <w:rsid w:val="00E04733"/>
    <w:rsid w:val="00E053DB"/>
    <w:rsid w:val="00E05444"/>
    <w:rsid w:val="00E05D71"/>
    <w:rsid w:val="00E060C9"/>
    <w:rsid w:val="00E06AB6"/>
    <w:rsid w:val="00E0771E"/>
    <w:rsid w:val="00E10577"/>
    <w:rsid w:val="00E10E82"/>
    <w:rsid w:val="00E122F5"/>
    <w:rsid w:val="00E12CED"/>
    <w:rsid w:val="00E1312C"/>
    <w:rsid w:val="00E158BE"/>
    <w:rsid w:val="00E15CCC"/>
    <w:rsid w:val="00E16191"/>
    <w:rsid w:val="00E1655F"/>
    <w:rsid w:val="00E1708B"/>
    <w:rsid w:val="00E17FEF"/>
    <w:rsid w:val="00E21179"/>
    <w:rsid w:val="00E215DF"/>
    <w:rsid w:val="00E22BB8"/>
    <w:rsid w:val="00E23D89"/>
    <w:rsid w:val="00E245C5"/>
    <w:rsid w:val="00E2467F"/>
    <w:rsid w:val="00E24901"/>
    <w:rsid w:val="00E25F39"/>
    <w:rsid w:val="00E261E1"/>
    <w:rsid w:val="00E26ECB"/>
    <w:rsid w:val="00E27585"/>
    <w:rsid w:val="00E27B8E"/>
    <w:rsid w:val="00E2BF90"/>
    <w:rsid w:val="00E30020"/>
    <w:rsid w:val="00E305D8"/>
    <w:rsid w:val="00E3090C"/>
    <w:rsid w:val="00E31168"/>
    <w:rsid w:val="00E32082"/>
    <w:rsid w:val="00E32130"/>
    <w:rsid w:val="00E328EF"/>
    <w:rsid w:val="00E330B4"/>
    <w:rsid w:val="00E3393D"/>
    <w:rsid w:val="00E33BF6"/>
    <w:rsid w:val="00E33D31"/>
    <w:rsid w:val="00E34EF0"/>
    <w:rsid w:val="00E35125"/>
    <w:rsid w:val="00E35DE5"/>
    <w:rsid w:val="00E37F30"/>
    <w:rsid w:val="00E434AD"/>
    <w:rsid w:val="00E4644F"/>
    <w:rsid w:val="00E46574"/>
    <w:rsid w:val="00E46A09"/>
    <w:rsid w:val="00E473C3"/>
    <w:rsid w:val="00E476F5"/>
    <w:rsid w:val="00E50CA9"/>
    <w:rsid w:val="00E50EB6"/>
    <w:rsid w:val="00E50F34"/>
    <w:rsid w:val="00E52083"/>
    <w:rsid w:val="00E54259"/>
    <w:rsid w:val="00E54404"/>
    <w:rsid w:val="00E548D2"/>
    <w:rsid w:val="00E54B3B"/>
    <w:rsid w:val="00E551A3"/>
    <w:rsid w:val="00E5576D"/>
    <w:rsid w:val="00E55A81"/>
    <w:rsid w:val="00E55B62"/>
    <w:rsid w:val="00E5689C"/>
    <w:rsid w:val="00E56DEE"/>
    <w:rsid w:val="00E56F5F"/>
    <w:rsid w:val="00E56F85"/>
    <w:rsid w:val="00E57D74"/>
    <w:rsid w:val="00E6019F"/>
    <w:rsid w:val="00E604B7"/>
    <w:rsid w:val="00E6293D"/>
    <w:rsid w:val="00E62F66"/>
    <w:rsid w:val="00E6393C"/>
    <w:rsid w:val="00E643BD"/>
    <w:rsid w:val="00E65216"/>
    <w:rsid w:val="00E65E41"/>
    <w:rsid w:val="00E6640C"/>
    <w:rsid w:val="00E66E2D"/>
    <w:rsid w:val="00E67052"/>
    <w:rsid w:val="00E6A525"/>
    <w:rsid w:val="00E7006B"/>
    <w:rsid w:val="00E70106"/>
    <w:rsid w:val="00E71423"/>
    <w:rsid w:val="00E71C0B"/>
    <w:rsid w:val="00E73B1B"/>
    <w:rsid w:val="00E73C3C"/>
    <w:rsid w:val="00E75025"/>
    <w:rsid w:val="00E7515E"/>
    <w:rsid w:val="00E75F0F"/>
    <w:rsid w:val="00E76471"/>
    <w:rsid w:val="00E803BA"/>
    <w:rsid w:val="00E8046B"/>
    <w:rsid w:val="00E806E5"/>
    <w:rsid w:val="00E80AA4"/>
    <w:rsid w:val="00E81722"/>
    <w:rsid w:val="00E81B0D"/>
    <w:rsid w:val="00E82748"/>
    <w:rsid w:val="00E84942"/>
    <w:rsid w:val="00E84958"/>
    <w:rsid w:val="00E8543F"/>
    <w:rsid w:val="00E86799"/>
    <w:rsid w:val="00E87ACF"/>
    <w:rsid w:val="00E90EF6"/>
    <w:rsid w:val="00E91212"/>
    <w:rsid w:val="00E9121A"/>
    <w:rsid w:val="00E924EA"/>
    <w:rsid w:val="00E93A21"/>
    <w:rsid w:val="00E93D6B"/>
    <w:rsid w:val="00E952EA"/>
    <w:rsid w:val="00E95720"/>
    <w:rsid w:val="00E977A2"/>
    <w:rsid w:val="00E97B69"/>
    <w:rsid w:val="00EA0554"/>
    <w:rsid w:val="00EA0B5D"/>
    <w:rsid w:val="00EA193C"/>
    <w:rsid w:val="00EA1F9E"/>
    <w:rsid w:val="00EA33DB"/>
    <w:rsid w:val="00EA3427"/>
    <w:rsid w:val="00EA393F"/>
    <w:rsid w:val="00EA5E5C"/>
    <w:rsid w:val="00EA5F38"/>
    <w:rsid w:val="00EA6074"/>
    <w:rsid w:val="00EB0120"/>
    <w:rsid w:val="00EB0803"/>
    <w:rsid w:val="00EB3A93"/>
    <w:rsid w:val="00EB3BF4"/>
    <w:rsid w:val="00EB5190"/>
    <w:rsid w:val="00EB68E4"/>
    <w:rsid w:val="00EB7155"/>
    <w:rsid w:val="00EC03B7"/>
    <w:rsid w:val="00EC05EC"/>
    <w:rsid w:val="00EC0A2D"/>
    <w:rsid w:val="00EC0DEF"/>
    <w:rsid w:val="00EC1281"/>
    <w:rsid w:val="00EC237C"/>
    <w:rsid w:val="00EC2D07"/>
    <w:rsid w:val="00EC45C8"/>
    <w:rsid w:val="00EC4A3C"/>
    <w:rsid w:val="00EC6879"/>
    <w:rsid w:val="00EC74A8"/>
    <w:rsid w:val="00EC799C"/>
    <w:rsid w:val="00EC79EB"/>
    <w:rsid w:val="00EC7D23"/>
    <w:rsid w:val="00ED010F"/>
    <w:rsid w:val="00ED0DC3"/>
    <w:rsid w:val="00ED30A1"/>
    <w:rsid w:val="00ED375C"/>
    <w:rsid w:val="00ED3B60"/>
    <w:rsid w:val="00ED452D"/>
    <w:rsid w:val="00ED47D1"/>
    <w:rsid w:val="00ED483B"/>
    <w:rsid w:val="00ED4A39"/>
    <w:rsid w:val="00ED5B7D"/>
    <w:rsid w:val="00ED5BB7"/>
    <w:rsid w:val="00ED5D0A"/>
    <w:rsid w:val="00ED7042"/>
    <w:rsid w:val="00ED782C"/>
    <w:rsid w:val="00ED7C19"/>
    <w:rsid w:val="00ED7F82"/>
    <w:rsid w:val="00EE0113"/>
    <w:rsid w:val="00EE0197"/>
    <w:rsid w:val="00EE02C5"/>
    <w:rsid w:val="00EE20FC"/>
    <w:rsid w:val="00EE292F"/>
    <w:rsid w:val="00EE2C0C"/>
    <w:rsid w:val="00EE3D67"/>
    <w:rsid w:val="00EE412A"/>
    <w:rsid w:val="00EE4665"/>
    <w:rsid w:val="00EE4C2E"/>
    <w:rsid w:val="00EE5191"/>
    <w:rsid w:val="00EE51E9"/>
    <w:rsid w:val="00EE6C1A"/>
    <w:rsid w:val="00EE6CF4"/>
    <w:rsid w:val="00EE6FDE"/>
    <w:rsid w:val="00EE7359"/>
    <w:rsid w:val="00EE7647"/>
    <w:rsid w:val="00EF0B2C"/>
    <w:rsid w:val="00EF0C52"/>
    <w:rsid w:val="00EF21D7"/>
    <w:rsid w:val="00EF255A"/>
    <w:rsid w:val="00EF3415"/>
    <w:rsid w:val="00EF3B9B"/>
    <w:rsid w:val="00EF501B"/>
    <w:rsid w:val="00EF625E"/>
    <w:rsid w:val="00EF6C27"/>
    <w:rsid w:val="00EF76F8"/>
    <w:rsid w:val="00F001D8"/>
    <w:rsid w:val="00F00D7F"/>
    <w:rsid w:val="00F0121B"/>
    <w:rsid w:val="00F02997"/>
    <w:rsid w:val="00F02BB7"/>
    <w:rsid w:val="00F03340"/>
    <w:rsid w:val="00F04008"/>
    <w:rsid w:val="00F044FC"/>
    <w:rsid w:val="00F04EFA"/>
    <w:rsid w:val="00F050C5"/>
    <w:rsid w:val="00F0538A"/>
    <w:rsid w:val="00F054FE"/>
    <w:rsid w:val="00F05CE8"/>
    <w:rsid w:val="00F060C3"/>
    <w:rsid w:val="00F06292"/>
    <w:rsid w:val="00F067B1"/>
    <w:rsid w:val="00F06E72"/>
    <w:rsid w:val="00F07C12"/>
    <w:rsid w:val="00F109B2"/>
    <w:rsid w:val="00F10ED1"/>
    <w:rsid w:val="00F11883"/>
    <w:rsid w:val="00F129E1"/>
    <w:rsid w:val="00F1305A"/>
    <w:rsid w:val="00F135A5"/>
    <w:rsid w:val="00F13664"/>
    <w:rsid w:val="00F13789"/>
    <w:rsid w:val="00F13D3B"/>
    <w:rsid w:val="00F13E6E"/>
    <w:rsid w:val="00F14040"/>
    <w:rsid w:val="00F149B1"/>
    <w:rsid w:val="00F14EF7"/>
    <w:rsid w:val="00F15904"/>
    <w:rsid w:val="00F15E26"/>
    <w:rsid w:val="00F16142"/>
    <w:rsid w:val="00F1627C"/>
    <w:rsid w:val="00F17327"/>
    <w:rsid w:val="00F2022C"/>
    <w:rsid w:val="00F2065A"/>
    <w:rsid w:val="00F20C21"/>
    <w:rsid w:val="00F21AEE"/>
    <w:rsid w:val="00F22CE7"/>
    <w:rsid w:val="00F2535D"/>
    <w:rsid w:val="00F25A56"/>
    <w:rsid w:val="00F26035"/>
    <w:rsid w:val="00F2798D"/>
    <w:rsid w:val="00F27CEF"/>
    <w:rsid w:val="00F3078E"/>
    <w:rsid w:val="00F30F27"/>
    <w:rsid w:val="00F31026"/>
    <w:rsid w:val="00F31EA9"/>
    <w:rsid w:val="00F31FAD"/>
    <w:rsid w:val="00F32822"/>
    <w:rsid w:val="00F32D3A"/>
    <w:rsid w:val="00F33A8F"/>
    <w:rsid w:val="00F347F6"/>
    <w:rsid w:val="00F352E8"/>
    <w:rsid w:val="00F358F0"/>
    <w:rsid w:val="00F35C77"/>
    <w:rsid w:val="00F370B1"/>
    <w:rsid w:val="00F370B3"/>
    <w:rsid w:val="00F376F9"/>
    <w:rsid w:val="00F40088"/>
    <w:rsid w:val="00F40DD4"/>
    <w:rsid w:val="00F41308"/>
    <w:rsid w:val="00F418C3"/>
    <w:rsid w:val="00F423FD"/>
    <w:rsid w:val="00F43658"/>
    <w:rsid w:val="00F43BA4"/>
    <w:rsid w:val="00F45011"/>
    <w:rsid w:val="00F45052"/>
    <w:rsid w:val="00F4588D"/>
    <w:rsid w:val="00F46311"/>
    <w:rsid w:val="00F47254"/>
    <w:rsid w:val="00F4778D"/>
    <w:rsid w:val="00F50598"/>
    <w:rsid w:val="00F50778"/>
    <w:rsid w:val="00F51377"/>
    <w:rsid w:val="00F51406"/>
    <w:rsid w:val="00F51C8A"/>
    <w:rsid w:val="00F52491"/>
    <w:rsid w:val="00F52803"/>
    <w:rsid w:val="00F53C3C"/>
    <w:rsid w:val="00F53EF7"/>
    <w:rsid w:val="00F54091"/>
    <w:rsid w:val="00F54EE2"/>
    <w:rsid w:val="00F55255"/>
    <w:rsid w:val="00F55C5B"/>
    <w:rsid w:val="00F55D54"/>
    <w:rsid w:val="00F56E76"/>
    <w:rsid w:val="00F60503"/>
    <w:rsid w:val="00F60967"/>
    <w:rsid w:val="00F60B33"/>
    <w:rsid w:val="00F61073"/>
    <w:rsid w:val="00F6187C"/>
    <w:rsid w:val="00F62733"/>
    <w:rsid w:val="00F62ED3"/>
    <w:rsid w:val="00F62FDD"/>
    <w:rsid w:val="00F63377"/>
    <w:rsid w:val="00F63C96"/>
    <w:rsid w:val="00F640E9"/>
    <w:rsid w:val="00F64621"/>
    <w:rsid w:val="00F653E7"/>
    <w:rsid w:val="00F653EC"/>
    <w:rsid w:val="00F65897"/>
    <w:rsid w:val="00F66DD6"/>
    <w:rsid w:val="00F6796F"/>
    <w:rsid w:val="00F67AB4"/>
    <w:rsid w:val="00F7029B"/>
    <w:rsid w:val="00F70342"/>
    <w:rsid w:val="00F71BB8"/>
    <w:rsid w:val="00F72B48"/>
    <w:rsid w:val="00F73D45"/>
    <w:rsid w:val="00F74D33"/>
    <w:rsid w:val="00F75049"/>
    <w:rsid w:val="00F76F89"/>
    <w:rsid w:val="00F777AC"/>
    <w:rsid w:val="00F77834"/>
    <w:rsid w:val="00F77AFE"/>
    <w:rsid w:val="00F808C0"/>
    <w:rsid w:val="00F80C15"/>
    <w:rsid w:val="00F820DA"/>
    <w:rsid w:val="00F82EA0"/>
    <w:rsid w:val="00F84D5B"/>
    <w:rsid w:val="00F86AAD"/>
    <w:rsid w:val="00F86D38"/>
    <w:rsid w:val="00F879CF"/>
    <w:rsid w:val="00F87E8A"/>
    <w:rsid w:val="00F901DE"/>
    <w:rsid w:val="00F90D73"/>
    <w:rsid w:val="00F91171"/>
    <w:rsid w:val="00F91E84"/>
    <w:rsid w:val="00F92458"/>
    <w:rsid w:val="00F92620"/>
    <w:rsid w:val="00F93659"/>
    <w:rsid w:val="00F94239"/>
    <w:rsid w:val="00F94DA3"/>
    <w:rsid w:val="00F962C1"/>
    <w:rsid w:val="00F96F9E"/>
    <w:rsid w:val="00F97BD8"/>
    <w:rsid w:val="00FA04A4"/>
    <w:rsid w:val="00FA053B"/>
    <w:rsid w:val="00FA07D9"/>
    <w:rsid w:val="00FA0F30"/>
    <w:rsid w:val="00FA25CB"/>
    <w:rsid w:val="00FA2640"/>
    <w:rsid w:val="00FA26E1"/>
    <w:rsid w:val="00FA389A"/>
    <w:rsid w:val="00FA3F3A"/>
    <w:rsid w:val="00FA3FAA"/>
    <w:rsid w:val="00FA4F75"/>
    <w:rsid w:val="00FA71A5"/>
    <w:rsid w:val="00FA71CB"/>
    <w:rsid w:val="00FA73BA"/>
    <w:rsid w:val="00FA7C71"/>
    <w:rsid w:val="00FB07CD"/>
    <w:rsid w:val="00FB08E8"/>
    <w:rsid w:val="00FB1A96"/>
    <w:rsid w:val="00FB46DF"/>
    <w:rsid w:val="00FB4D93"/>
    <w:rsid w:val="00FB7EC5"/>
    <w:rsid w:val="00FC2208"/>
    <w:rsid w:val="00FC3438"/>
    <w:rsid w:val="00FC3C41"/>
    <w:rsid w:val="00FC4155"/>
    <w:rsid w:val="00FC4A38"/>
    <w:rsid w:val="00FC6005"/>
    <w:rsid w:val="00FC6455"/>
    <w:rsid w:val="00FC6ADA"/>
    <w:rsid w:val="00FD0124"/>
    <w:rsid w:val="00FD1E1A"/>
    <w:rsid w:val="00FD284A"/>
    <w:rsid w:val="00FD3B43"/>
    <w:rsid w:val="00FD54C3"/>
    <w:rsid w:val="00FD56F4"/>
    <w:rsid w:val="00FD636B"/>
    <w:rsid w:val="00FD6789"/>
    <w:rsid w:val="00FD7ED0"/>
    <w:rsid w:val="00FE00FD"/>
    <w:rsid w:val="00FE0111"/>
    <w:rsid w:val="00FE0201"/>
    <w:rsid w:val="00FE1178"/>
    <w:rsid w:val="00FE15A2"/>
    <w:rsid w:val="00FE2186"/>
    <w:rsid w:val="00FE2B55"/>
    <w:rsid w:val="00FE2E4A"/>
    <w:rsid w:val="00FE31E0"/>
    <w:rsid w:val="00FE32BC"/>
    <w:rsid w:val="00FE333B"/>
    <w:rsid w:val="00FE3B5C"/>
    <w:rsid w:val="00FE3EDB"/>
    <w:rsid w:val="00FE4BC8"/>
    <w:rsid w:val="00FE4E6F"/>
    <w:rsid w:val="00FE6141"/>
    <w:rsid w:val="00FE6DF6"/>
    <w:rsid w:val="00FE6F73"/>
    <w:rsid w:val="00FE7C4A"/>
    <w:rsid w:val="00FF05C4"/>
    <w:rsid w:val="00FF0E5E"/>
    <w:rsid w:val="00FF1A70"/>
    <w:rsid w:val="00FF2011"/>
    <w:rsid w:val="00FF2422"/>
    <w:rsid w:val="00FF2589"/>
    <w:rsid w:val="00FF2B14"/>
    <w:rsid w:val="00FF426E"/>
    <w:rsid w:val="00FF55C9"/>
    <w:rsid w:val="00FF6440"/>
    <w:rsid w:val="00FF64B7"/>
    <w:rsid w:val="00FF694C"/>
    <w:rsid w:val="0145F7E2"/>
    <w:rsid w:val="0166B37A"/>
    <w:rsid w:val="01B511EA"/>
    <w:rsid w:val="02241DDD"/>
    <w:rsid w:val="023303A3"/>
    <w:rsid w:val="02C6311A"/>
    <w:rsid w:val="0398BDC9"/>
    <w:rsid w:val="045439FD"/>
    <w:rsid w:val="0472841C"/>
    <w:rsid w:val="05BC8340"/>
    <w:rsid w:val="05C7FB17"/>
    <w:rsid w:val="061D9F18"/>
    <w:rsid w:val="06554129"/>
    <w:rsid w:val="06AFAC87"/>
    <w:rsid w:val="07433F88"/>
    <w:rsid w:val="0758C045"/>
    <w:rsid w:val="076B04A8"/>
    <w:rsid w:val="0787DBC7"/>
    <w:rsid w:val="07B36634"/>
    <w:rsid w:val="07B5ACFE"/>
    <w:rsid w:val="07B688A7"/>
    <w:rsid w:val="0806B29F"/>
    <w:rsid w:val="0830E140"/>
    <w:rsid w:val="08723FD9"/>
    <w:rsid w:val="08749B2B"/>
    <w:rsid w:val="095F57E6"/>
    <w:rsid w:val="09677AB4"/>
    <w:rsid w:val="096D121F"/>
    <w:rsid w:val="0985291C"/>
    <w:rsid w:val="099A713F"/>
    <w:rsid w:val="09AA98AC"/>
    <w:rsid w:val="09AD1161"/>
    <w:rsid w:val="0B32C94D"/>
    <w:rsid w:val="0B50A382"/>
    <w:rsid w:val="0B7B90EC"/>
    <w:rsid w:val="0BB311AD"/>
    <w:rsid w:val="0BF2A8F4"/>
    <w:rsid w:val="0C624E46"/>
    <w:rsid w:val="0C666048"/>
    <w:rsid w:val="0CE27EF9"/>
    <w:rsid w:val="0D00CB06"/>
    <w:rsid w:val="0D39B2DA"/>
    <w:rsid w:val="0DE03D0C"/>
    <w:rsid w:val="0DF3DDCB"/>
    <w:rsid w:val="0E651B46"/>
    <w:rsid w:val="0E89A365"/>
    <w:rsid w:val="0F0DB46E"/>
    <w:rsid w:val="0FBFB45D"/>
    <w:rsid w:val="0FC624BB"/>
    <w:rsid w:val="108E3CDC"/>
    <w:rsid w:val="10A1D029"/>
    <w:rsid w:val="11EEF9DC"/>
    <w:rsid w:val="11FF0B94"/>
    <w:rsid w:val="1262CD6C"/>
    <w:rsid w:val="12B28604"/>
    <w:rsid w:val="12C711D8"/>
    <w:rsid w:val="1326F090"/>
    <w:rsid w:val="13657654"/>
    <w:rsid w:val="140F5CF0"/>
    <w:rsid w:val="14565DF9"/>
    <w:rsid w:val="14B4AB3C"/>
    <w:rsid w:val="15615316"/>
    <w:rsid w:val="169F01EF"/>
    <w:rsid w:val="16F4D274"/>
    <w:rsid w:val="17CF9822"/>
    <w:rsid w:val="1808F07B"/>
    <w:rsid w:val="18678264"/>
    <w:rsid w:val="187E8A00"/>
    <w:rsid w:val="188FE671"/>
    <w:rsid w:val="18CE1DE6"/>
    <w:rsid w:val="1909EC39"/>
    <w:rsid w:val="191906CD"/>
    <w:rsid w:val="194A61ED"/>
    <w:rsid w:val="19B42B7F"/>
    <w:rsid w:val="1BD86DA1"/>
    <w:rsid w:val="1BF51E24"/>
    <w:rsid w:val="1BF8B74A"/>
    <w:rsid w:val="1C72A476"/>
    <w:rsid w:val="1C9CD55C"/>
    <w:rsid w:val="1CEEC8F3"/>
    <w:rsid w:val="1D54B715"/>
    <w:rsid w:val="1D97EBD7"/>
    <w:rsid w:val="1DB0F723"/>
    <w:rsid w:val="1E36EA9E"/>
    <w:rsid w:val="1E7A7D05"/>
    <w:rsid w:val="1F0411E9"/>
    <w:rsid w:val="1F860463"/>
    <w:rsid w:val="1FCB8D98"/>
    <w:rsid w:val="2065DBD6"/>
    <w:rsid w:val="2089E0B7"/>
    <w:rsid w:val="20CB4D3D"/>
    <w:rsid w:val="20D384C3"/>
    <w:rsid w:val="2161A5AE"/>
    <w:rsid w:val="22392F22"/>
    <w:rsid w:val="22CD3460"/>
    <w:rsid w:val="22E125AC"/>
    <w:rsid w:val="23D3EC34"/>
    <w:rsid w:val="2469A2AE"/>
    <w:rsid w:val="24B267BA"/>
    <w:rsid w:val="2545097F"/>
    <w:rsid w:val="25BB38BC"/>
    <w:rsid w:val="25EBBAAB"/>
    <w:rsid w:val="25ED7ED5"/>
    <w:rsid w:val="269FD4C5"/>
    <w:rsid w:val="26F9D7B3"/>
    <w:rsid w:val="27448DDE"/>
    <w:rsid w:val="27E8E439"/>
    <w:rsid w:val="2811AEFE"/>
    <w:rsid w:val="2830CD14"/>
    <w:rsid w:val="28435764"/>
    <w:rsid w:val="284C5911"/>
    <w:rsid w:val="28A82901"/>
    <w:rsid w:val="2906F6CA"/>
    <w:rsid w:val="2A1C8FB2"/>
    <w:rsid w:val="2AF745E4"/>
    <w:rsid w:val="2B4CF75E"/>
    <w:rsid w:val="2B867049"/>
    <w:rsid w:val="2CCC1017"/>
    <w:rsid w:val="2D33A386"/>
    <w:rsid w:val="2DF18876"/>
    <w:rsid w:val="2E1FBFFD"/>
    <w:rsid w:val="2E58568E"/>
    <w:rsid w:val="2E9AD721"/>
    <w:rsid w:val="2F7BAFBE"/>
    <w:rsid w:val="3026466A"/>
    <w:rsid w:val="3075EBA4"/>
    <w:rsid w:val="3175BA12"/>
    <w:rsid w:val="318D6386"/>
    <w:rsid w:val="31AF4782"/>
    <w:rsid w:val="31D6E6F2"/>
    <w:rsid w:val="326121C9"/>
    <w:rsid w:val="32DC11F9"/>
    <w:rsid w:val="332A3784"/>
    <w:rsid w:val="3368A3D8"/>
    <w:rsid w:val="34A67E91"/>
    <w:rsid w:val="34FA36BA"/>
    <w:rsid w:val="3529F10C"/>
    <w:rsid w:val="35B366DB"/>
    <w:rsid w:val="35CD470B"/>
    <w:rsid w:val="36DA6AD8"/>
    <w:rsid w:val="373D8A16"/>
    <w:rsid w:val="37AEA918"/>
    <w:rsid w:val="37D4F851"/>
    <w:rsid w:val="3851DFA4"/>
    <w:rsid w:val="38723C04"/>
    <w:rsid w:val="3994E6D9"/>
    <w:rsid w:val="399E175D"/>
    <w:rsid w:val="39ADB0D9"/>
    <w:rsid w:val="39CA14A0"/>
    <w:rsid w:val="39CCF1F5"/>
    <w:rsid w:val="3A2D913E"/>
    <w:rsid w:val="3A628DFC"/>
    <w:rsid w:val="3A9799A9"/>
    <w:rsid w:val="3A9B815B"/>
    <w:rsid w:val="3AE247F7"/>
    <w:rsid w:val="3B3CBE6C"/>
    <w:rsid w:val="3BACB9AF"/>
    <w:rsid w:val="3BFEED7D"/>
    <w:rsid w:val="3C23EB94"/>
    <w:rsid w:val="3C3D6015"/>
    <w:rsid w:val="3CF2518B"/>
    <w:rsid w:val="3D005070"/>
    <w:rsid w:val="3D29F362"/>
    <w:rsid w:val="3D85A958"/>
    <w:rsid w:val="3DA96167"/>
    <w:rsid w:val="3E46F13B"/>
    <w:rsid w:val="3E5261E1"/>
    <w:rsid w:val="3FC6502E"/>
    <w:rsid w:val="40C034CF"/>
    <w:rsid w:val="410A9D42"/>
    <w:rsid w:val="410D9D9C"/>
    <w:rsid w:val="4175E932"/>
    <w:rsid w:val="41A3D549"/>
    <w:rsid w:val="41E16FB7"/>
    <w:rsid w:val="41E85D6F"/>
    <w:rsid w:val="4279DEEA"/>
    <w:rsid w:val="42803AEB"/>
    <w:rsid w:val="42F827DB"/>
    <w:rsid w:val="4407B171"/>
    <w:rsid w:val="448B703E"/>
    <w:rsid w:val="44C5E93A"/>
    <w:rsid w:val="44EB4AD3"/>
    <w:rsid w:val="44F93196"/>
    <w:rsid w:val="45001CFB"/>
    <w:rsid w:val="45AC1ABE"/>
    <w:rsid w:val="463A3983"/>
    <w:rsid w:val="4647A15F"/>
    <w:rsid w:val="467252C7"/>
    <w:rsid w:val="468FC1A7"/>
    <w:rsid w:val="46961425"/>
    <w:rsid w:val="4697CE77"/>
    <w:rsid w:val="4747E0F9"/>
    <w:rsid w:val="4748D1D7"/>
    <w:rsid w:val="47654E06"/>
    <w:rsid w:val="4787A22B"/>
    <w:rsid w:val="48006664"/>
    <w:rsid w:val="4897D17C"/>
    <w:rsid w:val="48A6F0D9"/>
    <w:rsid w:val="48B67748"/>
    <w:rsid w:val="48D6B3FA"/>
    <w:rsid w:val="49CC677E"/>
    <w:rsid w:val="4A1F616B"/>
    <w:rsid w:val="4A7FFEA7"/>
    <w:rsid w:val="4B0E3A7D"/>
    <w:rsid w:val="4B14AAFD"/>
    <w:rsid w:val="4B9C4F96"/>
    <w:rsid w:val="4B9E3837"/>
    <w:rsid w:val="4BCEF218"/>
    <w:rsid w:val="4BD51AD1"/>
    <w:rsid w:val="4BEAEC93"/>
    <w:rsid w:val="4C4D7EA8"/>
    <w:rsid w:val="4CB4DE03"/>
    <w:rsid w:val="4CB4EABC"/>
    <w:rsid w:val="4D18570F"/>
    <w:rsid w:val="4D1FE027"/>
    <w:rsid w:val="4D3F1D7E"/>
    <w:rsid w:val="4D8C5F29"/>
    <w:rsid w:val="4E06A51B"/>
    <w:rsid w:val="4E0718B0"/>
    <w:rsid w:val="4E0E0AA6"/>
    <w:rsid w:val="4E3D47B5"/>
    <w:rsid w:val="4E3FDC16"/>
    <w:rsid w:val="4E48FCBE"/>
    <w:rsid w:val="4FD2C47D"/>
    <w:rsid w:val="5033CC33"/>
    <w:rsid w:val="50C2742E"/>
    <w:rsid w:val="518F0CAA"/>
    <w:rsid w:val="51F6E454"/>
    <w:rsid w:val="52C5CEAB"/>
    <w:rsid w:val="52DC3C07"/>
    <w:rsid w:val="5332E8F3"/>
    <w:rsid w:val="53E6C8F6"/>
    <w:rsid w:val="5439DFBE"/>
    <w:rsid w:val="5548FDDC"/>
    <w:rsid w:val="560D572C"/>
    <w:rsid w:val="56C40B2B"/>
    <w:rsid w:val="56F63747"/>
    <w:rsid w:val="58620CFB"/>
    <w:rsid w:val="586E0AFC"/>
    <w:rsid w:val="58A02736"/>
    <w:rsid w:val="5A7C0D5A"/>
    <w:rsid w:val="5B291EC1"/>
    <w:rsid w:val="5B60038E"/>
    <w:rsid w:val="5EA4976F"/>
    <w:rsid w:val="5EDD2510"/>
    <w:rsid w:val="5FA6F252"/>
    <w:rsid w:val="60673608"/>
    <w:rsid w:val="61172273"/>
    <w:rsid w:val="611C6B71"/>
    <w:rsid w:val="613A396E"/>
    <w:rsid w:val="618EEA77"/>
    <w:rsid w:val="625FDDF8"/>
    <w:rsid w:val="6279C6EF"/>
    <w:rsid w:val="62BDB7E3"/>
    <w:rsid w:val="62E21383"/>
    <w:rsid w:val="63E8C7DD"/>
    <w:rsid w:val="63EFCE8C"/>
    <w:rsid w:val="6412B273"/>
    <w:rsid w:val="648ACA73"/>
    <w:rsid w:val="648E649A"/>
    <w:rsid w:val="64C8F91B"/>
    <w:rsid w:val="6503B03E"/>
    <w:rsid w:val="654F907A"/>
    <w:rsid w:val="65CDD2CA"/>
    <w:rsid w:val="66F0C01A"/>
    <w:rsid w:val="675D390A"/>
    <w:rsid w:val="677D8634"/>
    <w:rsid w:val="678794B1"/>
    <w:rsid w:val="67B32076"/>
    <w:rsid w:val="67C9E913"/>
    <w:rsid w:val="6813A8B6"/>
    <w:rsid w:val="68502280"/>
    <w:rsid w:val="69A31C47"/>
    <w:rsid w:val="69BB3B34"/>
    <w:rsid w:val="69C572A0"/>
    <w:rsid w:val="69FA08C7"/>
    <w:rsid w:val="6A781EE4"/>
    <w:rsid w:val="6AF7A282"/>
    <w:rsid w:val="6B3FD6D4"/>
    <w:rsid w:val="6B6A74EE"/>
    <w:rsid w:val="6B8C91AD"/>
    <w:rsid w:val="6BAC53F8"/>
    <w:rsid w:val="6C4CF29E"/>
    <w:rsid w:val="6C84538D"/>
    <w:rsid w:val="6CECED5C"/>
    <w:rsid w:val="6D1C5D1A"/>
    <w:rsid w:val="6DB1E398"/>
    <w:rsid w:val="6FACFF14"/>
    <w:rsid w:val="7059427F"/>
    <w:rsid w:val="709770A0"/>
    <w:rsid w:val="70B1DCDA"/>
    <w:rsid w:val="715A4498"/>
    <w:rsid w:val="71F8E5F3"/>
    <w:rsid w:val="7210F5AE"/>
    <w:rsid w:val="7348F494"/>
    <w:rsid w:val="74BD2BBD"/>
    <w:rsid w:val="75369CC3"/>
    <w:rsid w:val="7584C480"/>
    <w:rsid w:val="76105A42"/>
    <w:rsid w:val="762D0C92"/>
    <w:rsid w:val="76310B43"/>
    <w:rsid w:val="76A71806"/>
    <w:rsid w:val="76C4D033"/>
    <w:rsid w:val="771AF41D"/>
    <w:rsid w:val="77372C1B"/>
    <w:rsid w:val="7756D87D"/>
    <w:rsid w:val="77A9A947"/>
    <w:rsid w:val="7894B905"/>
    <w:rsid w:val="789A4440"/>
    <w:rsid w:val="793C6DFD"/>
    <w:rsid w:val="79A12C26"/>
    <w:rsid w:val="79CF61B1"/>
    <w:rsid w:val="79D0E77F"/>
    <w:rsid w:val="7A1304FB"/>
    <w:rsid w:val="7A51DBBD"/>
    <w:rsid w:val="7AF45E04"/>
    <w:rsid w:val="7B0E1087"/>
    <w:rsid w:val="7B3CAE1A"/>
    <w:rsid w:val="7B68DABA"/>
    <w:rsid w:val="7BD852F5"/>
    <w:rsid w:val="7C16F95A"/>
    <w:rsid w:val="7C333A99"/>
    <w:rsid w:val="7C9B33C4"/>
    <w:rsid w:val="7CEB162E"/>
    <w:rsid w:val="7D09F5CD"/>
    <w:rsid w:val="7D1340B9"/>
    <w:rsid w:val="7D530450"/>
    <w:rsid w:val="7E363456"/>
    <w:rsid w:val="7E44020B"/>
    <w:rsid w:val="7E4E80CD"/>
    <w:rsid w:val="7EC0B624"/>
    <w:rsid w:val="7EC8EE01"/>
    <w:rsid w:val="7F14326E"/>
    <w:rsid w:val="7F998DE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D15F41"/>
  <w15:chartTrackingRefBased/>
  <w15:docId w15:val="{841287B9-421C-4784-9A77-DA78BB5DC4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1"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0238DD"/>
    <w:pPr>
      <w:spacing w:after="0" w:line="240" w:lineRule="auto"/>
    </w:pPr>
    <w:rPr>
      <w:rFonts w:ascii="Times New Roman" w:hAnsi="Times New Roman" w:eastAsia="Times New Roman" w:cs="Times New Roman"/>
      <w:kern w:val="0"/>
      <w:sz w:val="24"/>
      <w:szCs w:val="24"/>
      <w:lang w:eastAsia="it-IT"/>
    </w:rPr>
  </w:style>
  <w:style w:type="paragraph" w:styleId="Heading1">
    <w:name w:val="heading 1"/>
    <w:basedOn w:val="Normal"/>
    <w:next w:val="Normal"/>
    <w:link w:val="Heading1Char"/>
    <w:uiPriority w:val="9"/>
    <w:qFormat/>
    <w:rsid w:val="00D42AE6"/>
    <w:pPr>
      <w:keepNext/>
      <w:keepLines/>
      <w:spacing w:before="360" w:after="80"/>
      <w:outlineLvl w:val="0"/>
    </w:pPr>
    <w:rPr>
      <w:rFonts w:eastAsiaTheme="majorEastAsia" w:cstheme="majorBidi"/>
      <w:color w:val="0F4761" w:themeColor="accent1" w:themeShade="BF"/>
      <w:sz w:val="28"/>
      <w:szCs w:val="40"/>
    </w:rPr>
  </w:style>
  <w:style w:type="paragraph" w:styleId="Heading2">
    <w:name w:val="heading 2"/>
    <w:basedOn w:val="Normal"/>
    <w:next w:val="Normal"/>
    <w:link w:val="Heading2Char"/>
    <w:uiPriority w:val="9"/>
    <w:unhideWhenUsed/>
    <w:qFormat/>
    <w:rsid w:val="000238DD"/>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0238D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0238D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238D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238DD"/>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238DD"/>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238DD"/>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238DD"/>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D42AE6"/>
    <w:rPr>
      <w:rFonts w:ascii="Times New Roman" w:hAnsi="Times New Roman" w:eastAsiaTheme="majorEastAsia" w:cstheme="majorBidi"/>
      <w:color w:val="0F4761" w:themeColor="accent1" w:themeShade="BF"/>
      <w:kern w:val="0"/>
      <w:sz w:val="28"/>
      <w:szCs w:val="40"/>
      <w:lang w:eastAsia="it-IT"/>
    </w:rPr>
  </w:style>
  <w:style w:type="character" w:styleId="Heading2Char" w:customStyle="1">
    <w:name w:val="Heading 2 Char"/>
    <w:basedOn w:val="DefaultParagraphFont"/>
    <w:link w:val="Heading2"/>
    <w:uiPriority w:val="9"/>
    <w:rsid w:val="000238DD"/>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rsid w:val="000238DD"/>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semiHidden/>
    <w:rsid w:val="000238DD"/>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semiHidden/>
    <w:rsid w:val="000238DD"/>
    <w:rPr>
      <w:rFonts w:eastAsiaTheme="majorEastAsia" w:cstheme="majorBidi"/>
      <w:color w:val="0F4761" w:themeColor="accent1" w:themeShade="BF"/>
    </w:rPr>
  </w:style>
  <w:style w:type="character" w:styleId="Heading6Char" w:customStyle="1">
    <w:name w:val="Heading 6 Char"/>
    <w:basedOn w:val="DefaultParagraphFont"/>
    <w:link w:val="Heading6"/>
    <w:uiPriority w:val="9"/>
    <w:semiHidden/>
    <w:rsid w:val="000238DD"/>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0238DD"/>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0238DD"/>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0238DD"/>
    <w:rPr>
      <w:rFonts w:eastAsiaTheme="majorEastAsia" w:cstheme="majorBidi"/>
      <w:color w:val="272727" w:themeColor="text1" w:themeTint="D8"/>
    </w:rPr>
  </w:style>
  <w:style w:type="paragraph" w:styleId="Title">
    <w:name w:val="Title"/>
    <w:basedOn w:val="Normal"/>
    <w:next w:val="Normal"/>
    <w:link w:val="TitleChar"/>
    <w:uiPriority w:val="10"/>
    <w:qFormat/>
    <w:rsid w:val="000238DD"/>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0238DD"/>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0238DD"/>
    <w:pPr>
      <w:numPr>
        <w:ilvl w:val="1"/>
      </w:numPr>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0238D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238DD"/>
    <w:pPr>
      <w:spacing w:before="160"/>
      <w:jc w:val="center"/>
    </w:pPr>
    <w:rPr>
      <w:i/>
      <w:iCs/>
      <w:color w:val="404040" w:themeColor="text1" w:themeTint="BF"/>
    </w:rPr>
  </w:style>
  <w:style w:type="character" w:styleId="QuoteChar" w:customStyle="1">
    <w:name w:val="Quote Char"/>
    <w:basedOn w:val="DefaultParagraphFont"/>
    <w:link w:val="Quote"/>
    <w:uiPriority w:val="29"/>
    <w:rsid w:val="000238DD"/>
    <w:rPr>
      <w:i/>
      <w:iCs/>
      <w:color w:val="404040" w:themeColor="text1" w:themeTint="BF"/>
    </w:rPr>
  </w:style>
  <w:style w:type="paragraph" w:styleId="ListParagraph">
    <w:name w:val="List Paragraph"/>
    <w:aliases w:val="Testo_tabella,Paragrafo elenco 2,Bullet List,FooterText,numbered,Paragraphe de liste1,Bulletr List Paragraph,列出段落,列出段落1,List Paragraph21,Listeafsnit1,Parágrafo da Lista1,Párrafo de lista1,リスト段落1,List Paragraph11,Foot,List Paragraph2,lp1"/>
    <w:basedOn w:val="Normal"/>
    <w:link w:val="ListParagraphChar"/>
    <w:uiPriority w:val="1"/>
    <w:qFormat/>
    <w:rsid w:val="000238DD"/>
    <w:pPr>
      <w:ind w:left="720"/>
      <w:contextualSpacing/>
    </w:pPr>
  </w:style>
  <w:style w:type="character" w:styleId="IntenseEmphasis">
    <w:name w:val="Intense Emphasis"/>
    <w:basedOn w:val="DefaultParagraphFont"/>
    <w:uiPriority w:val="21"/>
    <w:qFormat/>
    <w:rsid w:val="000238DD"/>
    <w:rPr>
      <w:i/>
      <w:iCs/>
      <w:color w:val="0F4761" w:themeColor="accent1" w:themeShade="BF"/>
    </w:rPr>
  </w:style>
  <w:style w:type="paragraph" w:styleId="IntenseQuote">
    <w:name w:val="Intense Quote"/>
    <w:basedOn w:val="Normal"/>
    <w:next w:val="Normal"/>
    <w:link w:val="IntenseQuoteChar"/>
    <w:uiPriority w:val="30"/>
    <w:qFormat/>
    <w:rsid w:val="000238DD"/>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QuoteChar" w:customStyle="1">
    <w:name w:val="Intense Quote Char"/>
    <w:basedOn w:val="DefaultParagraphFont"/>
    <w:link w:val="IntenseQuote"/>
    <w:uiPriority w:val="30"/>
    <w:rsid w:val="000238DD"/>
    <w:rPr>
      <w:i/>
      <w:iCs/>
      <w:color w:val="0F4761" w:themeColor="accent1" w:themeShade="BF"/>
    </w:rPr>
  </w:style>
  <w:style w:type="character" w:styleId="IntenseReference">
    <w:name w:val="Intense Reference"/>
    <w:basedOn w:val="DefaultParagraphFont"/>
    <w:uiPriority w:val="32"/>
    <w:qFormat/>
    <w:rsid w:val="000238DD"/>
    <w:rPr>
      <w:b/>
      <w:bCs/>
      <w:smallCaps/>
      <w:color w:val="0F4761" w:themeColor="accent1" w:themeShade="BF"/>
      <w:spacing w:val="5"/>
    </w:rPr>
  </w:style>
  <w:style w:type="paragraph" w:styleId="Header">
    <w:name w:val="header"/>
    <w:basedOn w:val="Normal"/>
    <w:link w:val="HeaderChar"/>
    <w:uiPriority w:val="99"/>
    <w:unhideWhenUsed/>
    <w:rsid w:val="000238DD"/>
    <w:pPr>
      <w:tabs>
        <w:tab w:val="center" w:pos="4819"/>
        <w:tab w:val="right" w:pos="9638"/>
      </w:tabs>
    </w:pPr>
  </w:style>
  <w:style w:type="character" w:styleId="HeaderChar" w:customStyle="1">
    <w:name w:val="Header Char"/>
    <w:basedOn w:val="DefaultParagraphFont"/>
    <w:link w:val="Header"/>
    <w:uiPriority w:val="99"/>
    <w:rsid w:val="000238DD"/>
  </w:style>
  <w:style w:type="paragraph" w:styleId="Footer">
    <w:name w:val="footer"/>
    <w:basedOn w:val="Normal"/>
    <w:link w:val="FooterChar"/>
    <w:uiPriority w:val="99"/>
    <w:unhideWhenUsed/>
    <w:rsid w:val="000238DD"/>
    <w:pPr>
      <w:tabs>
        <w:tab w:val="center" w:pos="4819"/>
        <w:tab w:val="right" w:pos="9638"/>
      </w:tabs>
    </w:pPr>
  </w:style>
  <w:style w:type="character" w:styleId="FooterChar" w:customStyle="1">
    <w:name w:val="Footer Char"/>
    <w:basedOn w:val="DefaultParagraphFont"/>
    <w:link w:val="Footer"/>
    <w:uiPriority w:val="99"/>
    <w:rsid w:val="000238DD"/>
  </w:style>
  <w:style w:type="paragraph" w:styleId="TOCHeading">
    <w:name w:val="TOC Heading"/>
    <w:basedOn w:val="Heading1"/>
    <w:next w:val="Normal"/>
    <w:uiPriority w:val="39"/>
    <w:unhideWhenUsed/>
    <w:qFormat/>
    <w:rsid w:val="000238DD"/>
    <w:pPr>
      <w:spacing w:before="240" w:after="0"/>
      <w:outlineLvl w:val="9"/>
    </w:pPr>
    <w:rPr>
      <w:sz w:val="32"/>
      <w:szCs w:val="32"/>
    </w:rPr>
  </w:style>
  <w:style w:type="paragraph" w:styleId="TOC1">
    <w:name w:val="toc 1"/>
    <w:basedOn w:val="Normal"/>
    <w:next w:val="Normal"/>
    <w:autoRedefine/>
    <w:uiPriority w:val="39"/>
    <w:unhideWhenUsed/>
    <w:rsid w:val="000238DD"/>
    <w:pPr>
      <w:spacing w:after="100"/>
    </w:pPr>
  </w:style>
  <w:style w:type="character" w:styleId="Hyperlink">
    <w:name w:val="Hyperlink"/>
    <w:basedOn w:val="DefaultParagraphFont"/>
    <w:uiPriority w:val="99"/>
    <w:unhideWhenUsed/>
    <w:rsid w:val="000238DD"/>
    <w:rPr>
      <w:color w:val="467886" w:themeColor="hyperlink"/>
      <w:u w:val="single"/>
    </w:rPr>
  </w:style>
  <w:style w:type="table" w:styleId="TableGrid">
    <w:name w:val="Table Grid"/>
    <w:basedOn w:val="TableNormal"/>
    <w:uiPriority w:val="39"/>
    <w:rsid w:val="007320A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NormalWeb">
    <w:name w:val="Normal (Web)"/>
    <w:basedOn w:val="Normal"/>
    <w:uiPriority w:val="99"/>
    <w:unhideWhenUsed/>
    <w:rsid w:val="00820B67"/>
    <w:pPr>
      <w:spacing w:before="100" w:beforeAutospacing="1" w:after="100" w:afterAutospacing="1"/>
    </w:pPr>
    <w:rPr>
      <w14:ligatures w14:val="none"/>
    </w:rPr>
  </w:style>
  <w:style w:type="character" w:styleId="CommentReference">
    <w:name w:val="annotation reference"/>
    <w:basedOn w:val="DefaultParagraphFont"/>
    <w:uiPriority w:val="99"/>
    <w:semiHidden/>
    <w:unhideWhenUsed/>
    <w:rsid w:val="00BD143A"/>
    <w:rPr>
      <w:sz w:val="16"/>
      <w:szCs w:val="16"/>
    </w:rPr>
  </w:style>
  <w:style w:type="paragraph" w:styleId="CommentText">
    <w:name w:val="annotation text"/>
    <w:basedOn w:val="Normal"/>
    <w:link w:val="CommentTextChar"/>
    <w:uiPriority w:val="99"/>
    <w:unhideWhenUsed/>
    <w:rsid w:val="00BD143A"/>
    <w:rPr>
      <w:sz w:val="20"/>
      <w:szCs w:val="20"/>
    </w:rPr>
  </w:style>
  <w:style w:type="character" w:styleId="CommentTextChar" w:customStyle="1">
    <w:name w:val="Comment Text Char"/>
    <w:basedOn w:val="DefaultParagraphFont"/>
    <w:link w:val="CommentText"/>
    <w:uiPriority w:val="99"/>
    <w:rsid w:val="00BD143A"/>
    <w:rPr>
      <w:rFonts w:ascii="Times New Roman" w:hAnsi="Times New Roman" w:eastAsia="Times New Roman" w:cs="Times New Roman"/>
      <w:kern w:val="0"/>
      <w:sz w:val="20"/>
      <w:szCs w:val="20"/>
      <w:lang w:eastAsia="it-IT"/>
    </w:rPr>
  </w:style>
  <w:style w:type="paragraph" w:styleId="CommentSubject">
    <w:name w:val="annotation subject"/>
    <w:basedOn w:val="CommentText"/>
    <w:next w:val="CommentText"/>
    <w:link w:val="CommentSubjectChar"/>
    <w:uiPriority w:val="99"/>
    <w:semiHidden/>
    <w:unhideWhenUsed/>
    <w:rsid w:val="00BD143A"/>
    <w:rPr>
      <w:b/>
      <w:bCs/>
    </w:rPr>
  </w:style>
  <w:style w:type="character" w:styleId="CommentSubjectChar" w:customStyle="1">
    <w:name w:val="Comment Subject Char"/>
    <w:basedOn w:val="CommentTextChar"/>
    <w:link w:val="CommentSubject"/>
    <w:uiPriority w:val="99"/>
    <w:semiHidden/>
    <w:rsid w:val="00BD143A"/>
    <w:rPr>
      <w:rFonts w:ascii="Times New Roman" w:hAnsi="Times New Roman" w:eastAsia="Times New Roman" w:cs="Times New Roman"/>
      <w:b/>
      <w:bCs/>
      <w:kern w:val="0"/>
      <w:sz w:val="20"/>
      <w:szCs w:val="20"/>
      <w:lang w:eastAsia="it-IT"/>
    </w:rPr>
  </w:style>
  <w:style w:type="paragraph" w:styleId="Revision">
    <w:name w:val="Revision"/>
    <w:hidden/>
    <w:uiPriority w:val="99"/>
    <w:semiHidden/>
    <w:rsid w:val="00E71C0B"/>
    <w:pPr>
      <w:spacing w:after="0" w:line="240" w:lineRule="auto"/>
    </w:pPr>
    <w:rPr>
      <w:rFonts w:ascii="Times New Roman" w:hAnsi="Times New Roman" w:eastAsia="Times New Roman" w:cs="Times New Roman"/>
      <w:kern w:val="0"/>
      <w:sz w:val="24"/>
      <w:szCs w:val="24"/>
      <w:lang w:eastAsia="it-IT"/>
    </w:rPr>
  </w:style>
  <w:style w:type="paragraph" w:styleId="FootnoteText">
    <w:name w:val="footnote text"/>
    <w:basedOn w:val="Normal"/>
    <w:link w:val="FootnoteTextChar"/>
    <w:uiPriority w:val="99"/>
    <w:semiHidden/>
    <w:unhideWhenUsed/>
    <w:rsid w:val="00426400"/>
    <w:rPr>
      <w:sz w:val="20"/>
      <w:szCs w:val="20"/>
    </w:rPr>
  </w:style>
  <w:style w:type="character" w:styleId="FootnoteTextChar" w:customStyle="1">
    <w:name w:val="Footnote Text Char"/>
    <w:basedOn w:val="DefaultParagraphFont"/>
    <w:link w:val="FootnoteText"/>
    <w:uiPriority w:val="99"/>
    <w:semiHidden/>
    <w:rsid w:val="00426400"/>
    <w:rPr>
      <w:rFonts w:ascii="Times New Roman" w:hAnsi="Times New Roman" w:eastAsia="Times New Roman" w:cs="Times New Roman"/>
      <w:kern w:val="0"/>
      <w:sz w:val="20"/>
      <w:szCs w:val="20"/>
      <w:lang w:eastAsia="it-IT"/>
    </w:rPr>
  </w:style>
  <w:style w:type="character" w:styleId="FootnoteReference">
    <w:name w:val="footnote reference"/>
    <w:basedOn w:val="DefaultParagraphFont"/>
    <w:uiPriority w:val="99"/>
    <w:semiHidden/>
    <w:unhideWhenUsed/>
    <w:rsid w:val="00426400"/>
    <w:rPr>
      <w:vertAlign w:val="superscript"/>
    </w:rPr>
  </w:style>
  <w:style w:type="paragraph" w:styleId="TOC2">
    <w:name w:val="toc 2"/>
    <w:basedOn w:val="Normal"/>
    <w:next w:val="Normal"/>
    <w:autoRedefine/>
    <w:uiPriority w:val="39"/>
    <w:unhideWhenUsed/>
    <w:rsid w:val="002D3177"/>
    <w:pPr>
      <w:tabs>
        <w:tab w:val="left" w:pos="1200"/>
        <w:tab w:val="left" w:leader="dot" w:pos="9178"/>
      </w:tabs>
      <w:spacing w:after="100"/>
    </w:pPr>
    <w:rPr>
      <w:rFonts w:ascii="Calibri" w:hAnsi="Calibri" w:cs="Calibri"/>
      <w:lang w:val="en-US"/>
    </w:rPr>
  </w:style>
  <w:style w:type="paragraph" w:styleId="BodyText">
    <w:name w:val="Body Text"/>
    <w:basedOn w:val="Normal"/>
    <w:link w:val="BodyTextChar"/>
    <w:uiPriority w:val="1"/>
    <w:qFormat/>
    <w:rsid w:val="001D6A72"/>
    <w:pPr>
      <w:widowControl w:val="0"/>
      <w:tabs>
        <w:tab w:val="left" w:pos="9214"/>
      </w:tabs>
      <w:autoSpaceDE w:val="0"/>
      <w:autoSpaceDN w:val="0"/>
      <w:spacing w:before="120" w:line="264" w:lineRule="auto"/>
      <w:jc w:val="both"/>
    </w:pPr>
    <w:rPr>
      <w:rFonts w:ascii="Calibri" w:hAnsi="Calibri" w:eastAsia="Calibri" w:cs="Calibri"/>
      <w:sz w:val="22"/>
      <w:szCs w:val="22"/>
      <w:lang w:eastAsia="en-US"/>
      <w14:ligatures w14:val="none"/>
    </w:rPr>
  </w:style>
  <w:style w:type="character" w:styleId="BodyTextChar" w:customStyle="1">
    <w:name w:val="Body Text Char"/>
    <w:basedOn w:val="DefaultParagraphFont"/>
    <w:link w:val="BodyText"/>
    <w:uiPriority w:val="1"/>
    <w:rsid w:val="001D6A72"/>
    <w:rPr>
      <w:rFonts w:ascii="Calibri" w:hAnsi="Calibri" w:eastAsia="Calibri" w:cs="Calibri"/>
      <w:kern w:val="0"/>
      <w14:ligatures w14:val="none"/>
    </w:rPr>
  </w:style>
  <w:style w:type="character" w:styleId="ListParagraphChar" w:customStyle="1">
    <w:name w:val="List Paragraph Char"/>
    <w:aliases w:val="Testo_tabella Char,Paragrafo elenco 2 Char,Bullet List Char,FooterText Char,numbered Char,Paragraphe de liste1 Char,Bulletr List Paragraph Char,列出段落 Char,列出段落1 Char,List Paragraph21 Char,Listeafsnit1 Char,Parágrafo da Lista1 Char"/>
    <w:link w:val="ListParagraph"/>
    <w:uiPriority w:val="1"/>
    <w:qFormat/>
    <w:locked/>
    <w:rsid w:val="00017135"/>
    <w:rPr>
      <w:rFonts w:ascii="Times New Roman" w:hAnsi="Times New Roman" w:eastAsia="Times New Roman" w:cs="Times New Roman"/>
      <w:kern w:val="0"/>
      <w:sz w:val="24"/>
      <w:szCs w:val="24"/>
      <w:lang w:eastAsia="it-IT"/>
    </w:rPr>
  </w:style>
  <w:style w:type="character" w:styleId="normaltextrun" w:customStyle="1">
    <w:name w:val="normaltextrun"/>
    <w:basedOn w:val="DefaultParagraphFont"/>
    <w:rsid w:val="00042DCF"/>
  </w:style>
  <w:style w:type="paragraph" w:styleId="elenco" w:customStyle="1">
    <w:name w:val="elenco"/>
    <w:basedOn w:val="Normal"/>
    <w:link w:val="elencoCarattere"/>
    <w:qFormat/>
    <w:rsid w:val="00E65E41"/>
    <w:pPr>
      <w:numPr>
        <w:numId w:val="12"/>
      </w:numPr>
      <w:tabs>
        <w:tab w:val="left" w:pos="426"/>
      </w:tabs>
      <w:spacing w:before="60" w:line="264" w:lineRule="auto"/>
      <w:jc w:val="both"/>
    </w:pPr>
    <w:rPr>
      <w:rFonts w:ascii="Calibri" w:hAnsi="Calibri"/>
      <w:sz w:val="22"/>
      <w:lang w:eastAsia="en-US"/>
      <w14:ligatures w14:val="none"/>
    </w:rPr>
  </w:style>
  <w:style w:type="character" w:styleId="elencoCarattere" w:customStyle="1">
    <w:name w:val="elenco Carattere"/>
    <w:basedOn w:val="DefaultParagraphFont"/>
    <w:link w:val="elenco"/>
    <w:rsid w:val="00E65E41"/>
    <w:rPr>
      <w:rFonts w:ascii="Calibri" w:hAnsi="Calibri" w:eastAsia="Times New Roman" w:cs="Times New Roman"/>
      <w:kern w:val="0"/>
      <w:szCs w:val="24"/>
      <w14:ligatures w14:val="none"/>
    </w:rPr>
  </w:style>
  <w:style w:type="paragraph" w:styleId="Stile1" w:customStyle="1">
    <w:name w:val="Stile1"/>
    <w:basedOn w:val="ListParagraph"/>
    <w:link w:val="Stile1Carattere"/>
    <w:qFormat/>
    <w:rsid w:val="00E65E41"/>
    <w:pPr>
      <w:widowControl w:val="0"/>
      <w:numPr>
        <w:numId w:val="13"/>
      </w:numPr>
      <w:tabs>
        <w:tab w:val="left" w:pos="567"/>
        <w:tab w:val="left" w:pos="709"/>
      </w:tabs>
      <w:autoSpaceDE w:val="0"/>
      <w:autoSpaceDN w:val="0"/>
      <w:spacing w:before="120"/>
      <w:contextualSpacing w:val="0"/>
      <w:jc w:val="both"/>
    </w:pPr>
    <w:rPr>
      <w:rFonts w:ascii="Calibri" w:hAnsi="Calibri" w:eastAsia="Calibri" w:cs="Calibri"/>
      <w:sz w:val="20"/>
      <w:szCs w:val="20"/>
      <w:lang w:bidi="it-IT"/>
      <w14:ligatures w14:val="none"/>
    </w:rPr>
  </w:style>
  <w:style w:type="character" w:styleId="Stile1Carattere" w:customStyle="1">
    <w:name w:val="Stile1 Carattere"/>
    <w:link w:val="Stile1"/>
    <w:rsid w:val="00E65E41"/>
    <w:rPr>
      <w:rFonts w:ascii="Calibri" w:hAnsi="Calibri" w:eastAsia="Calibri" w:cs="Calibri"/>
      <w:kern w:val="0"/>
      <w:sz w:val="20"/>
      <w:szCs w:val="20"/>
      <w:lang w:eastAsia="it-IT" w:bidi="it-IT"/>
      <w14:ligatures w14:val="none"/>
    </w:rPr>
  </w:style>
  <w:style w:type="paragraph" w:styleId="NoSpacing">
    <w:name w:val="No Spacing"/>
    <w:link w:val="NoSpacingChar"/>
    <w:uiPriority w:val="1"/>
    <w:qFormat/>
    <w:rsid w:val="0020384F"/>
    <w:pPr>
      <w:spacing w:after="0" w:line="240" w:lineRule="auto"/>
    </w:pPr>
    <w:rPr>
      <w:rFonts w:ascii="Times New Roman" w:hAnsi="Times New Roman" w:eastAsia="Times New Roman" w:cs="Times New Roman"/>
      <w:kern w:val="0"/>
      <w:sz w:val="24"/>
      <w:szCs w:val="24"/>
      <w:lang w:eastAsia="it-IT"/>
    </w:rPr>
  </w:style>
  <w:style w:type="character" w:styleId="NoSpacingChar" w:customStyle="1">
    <w:name w:val="No Spacing Char"/>
    <w:basedOn w:val="DefaultParagraphFont"/>
    <w:link w:val="NoSpacing"/>
    <w:uiPriority w:val="1"/>
    <w:rsid w:val="006D2E89"/>
    <w:rPr>
      <w:rFonts w:ascii="Times New Roman" w:hAnsi="Times New Roman" w:eastAsia="Times New Roman" w:cs="Times New Roman"/>
      <w:kern w:val="0"/>
      <w:sz w:val="24"/>
      <w:szCs w:val="24"/>
      <w:lang w:eastAsia="it-IT"/>
    </w:rPr>
  </w:style>
  <w:style w:type="paragraph" w:styleId="TOC3">
    <w:name w:val="toc 3"/>
    <w:basedOn w:val="Normal"/>
    <w:next w:val="Normal"/>
    <w:autoRedefine/>
    <w:uiPriority w:val="39"/>
    <w:unhideWhenUsed/>
    <w:rsid w:val="003C7849"/>
    <w:pPr>
      <w:spacing w:after="100"/>
      <w:ind w:left="480"/>
    </w:pPr>
  </w:style>
  <w:style w:type="paragraph" w:styleId="pf0" w:customStyle="1">
    <w:name w:val="pf0"/>
    <w:basedOn w:val="Normal"/>
    <w:rsid w:val="0034756D"/>
    <w:pPr>
      <w:spacing w:before="100" w:beforeAutospacing="1" w:after="100" w:afterAutospacing="1"/>
    </w:pPr>
    <w:rPr>
      <w14:ligatures w14:val="none"/>
    </w:rPr>
  </w:style>
  <w:style w:type="character" w:styleId="cf01" w:customStyle="1">
    <w:name w:val="cf01"/>
    <w:basedOn w:val="DefaultParagraphFont"/>
    <w:rsid w:val="0034756D"/>
    <w:rPr>
      <w:rFonts w:hint="default" w:ascii="Segoe UI" w:hAnsi="Segoe UI" w:cs="Segoe UI"/>
      <w:b/>
      <w:bCs/>
      <w:sz w:val="18"/>
      <w:szCs w:val="18"/>
    </w:rPr>
  </w:style>
  <w:style w:type="paragraph" w:styleId="pf1" w:customStyle="1">
    <w:name w:val="pf1"/>
    <w:basedOn w:val="Normal"/>
    <w:rsid w:val="0034756D"/>
    <w:pPr>
      <w:spacing w:before="100" w:beforeAutospacing="1" w:after="100" w:afterAutospacing="1"/>
    </w:pPr>
    <w:rPr>
      <w14:ligatures w14:val="none"/>
    </w:rPr>
  </w:style>
  <w:style w:type="character" w:styleId="cf11" w:customStyle="1">
    <w:name w:val="cf11"/>
    <w:basedOn w:val="DefaultParagraphFont"/>
    <w:rsid w:val="0034756D"/>
    <w:rPr>
      <w:rFonts w:hint="default" w:ascii="Segoe UI" w:hAnsi="Segoe UI" w:cs="Segoe UI"/>
      <w:sz w:val="18"/>
      <w:szCs w:val="18"/>
    </w:rPr>
  </w:style>
  <w:style w:type="character" w:styleId="cf21" w:customStyle="1">
    <w:name w:val="cf21"/>
    <w:basedOn w:val="DefaultParagraphFont"/>
    <w:rsid w:val="0034756D"/>
    <w:rPr>
      <w:rFonts w:hint="default" w:ascii="Segoe UI" w:hAnsi="Segoe UI" w:cs="Segoe UI"/>
      <w:sz w:val="18"/>
      <w:szCs w:val="18"/>
      <w:u w:val="single"/>
    </w:rPr>
  </w:style>
  <w:style w:type="numbering" w:styleId="Elencocorrente1" w:customStyle="1">
    <w:name w:val="Elenco corrente1"/>
    <w:uiPriority w:val="99"/>
    <w:rsid w:val="00E604B7"/>
    <w:pPr>
      <w:numPr>
        <w:numId w:val="23"/>
      </w:numPr>
    </w:pPr>
  </w:style>
  <w:style w:type="character" w:styleId="Strong">
    <w:name w:val="Strong"/>
    <w:basedOn w:val="DefaultParagraphFont"/>
    <w:uiPriority w:val="22"/>
    <w:qFormat/>
    <w:rsid w:val="006D16DF"/>
    <w:rPr>
      <w:b/>
      <w:bCs/>
    </w:rPr>
  </w:style>
  <w:style w:type="paragraph" w:styleId="Default" w:customStyle="1">
    <w:name w:val="Default"/>
    <w:rsid w:val="007362EA"/>
    <w:pPr>
      <w:autoSpaceDE w:val="0"/>
      <w:autoSpaceDN w:val="0"/>
      <w:adjustRightInd w:val="0"/>
      <w:spacing w:after="0" w:line="240" w:lineRule="auto"/>
    </w:pPr>
    <w:rPr>
      <w:rFonts w:ascii="Calibri" w:hAnsi="Calibri" w:cs="Calibri"/>
      <w:color w:val="000000"/>
      <w:kern w:val="0"/>
      <w:sz w:val="24"/>
      <w:szCs w:val="24"/>
    </w:rPr>
  </w:style>
  <w:style w:type="character" w:styleId="BookTitle">
    <w:name w:val="Book Title"/>
    <w:basedOn w:val="DefaultParagraphFont"/>
    <w:uiPriority w:val="33"/>
    <w:qFormat/>
    <w:rsid w:val="00C410A3"/>
    <w:rPr>
      <w:b/>
      <w:bCs/>
      <w:i/>
      <w:iCs/>
      <w:spacing w:val="5"/>
    </w:rPr>
  </w:style>
  <w:style w:type="paragraph" w:styleId="BalloonText">
    <w:name w:val="Balloon Text"/>
    <w:basedOn w:val="Normal"/>
    <w:link w:val="BalloonTextChar"/>
    <w:uiPriority w:val="99"/>
    <w:semiHidden/>
    <w:unhideWhenUsed/>
    <w:rsid w:val="00D55E00"/>
    <w:rPr>
      <w:rFonts w:ascii="Segoe UI" w:hAnsi="Segoe UI" w:cs="Segoe UI"/>
      <w:sz w:val="18"/>
      <w:szCs w:val="18"/>
    </w:rPr>
  </w:style>
  <w:style w:type="character" w:styleId="BalloonTextChar" w:customStyle="1">
    <w:name w:val="Balloon Text Char"/>
    <w:basedOn w:val="DefaultParagraphFont"/>
    <w:link w:val="BalloonText"/>
    <w:uiPriority w:val="99"/>
    <w:semiHidden/>
    <w:rsid w:val="00D55E00"/>
    <w:rPr>
      <w:rFonts w:ascii="Segoe UI" w:hAnsi="Segoe UI" w:eastAsia="Times New Roman" w:cs="Segoe UI"/>
      <w:kern w:val="0"/>
      <w:sz w:val="18"/>
      <w:szCs w:val="18"/>
      <w:lang w:eastAsia="it-IT"/>
    </w:rPr>
  </w:style>
  <w:style w:type="paragraph" w:styleId="Caption">
    <w:name w:val="caption"/>
    <w:basedOn w:val="Normal"/>
    <w:next w:val="Normal"/>
    <w:uiPriority w:val="35"/>
    <w:unhideWhenUsed/>
    <w:qFormat/>
    <w:rsid w:val="007423D2"/>
    <w:pPr>
      <w:spacing w:after="200"/>
    </w:pPr>
    <w:rPr>
      <w:i/>
      <w:iCs/>
      <w:color w:val="0E2841" w:themeColor="text2"/>
      <w:sz w:val="18"/>
      <w:szCs w:val="18"/>
    </w:rPr>
  </w:style>
  <w:style w:type="character" w:styleId="UnresolvedMention1" w:customStyle="1">
    <w:name w:val="Unresolved Mention1"/>
    <w:basedOn w:val="DefaultParagraphFont"/>
    <w:uiPriority w:val="99"/>
    <w:semiHidden/>
    <w:unhideWhenUsed/>
    <w:rsid w:val="0024368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010762">
      <w:bodyDiv w:val="1"/>
      <w:marLeft w:val="0"/>
      <w:marRight w:val="0"/>
      <w:marTop w:val="0"/>
      <w:marBottom w:val="0"/>
      <w:divBdr>
        <w:top w:val="none" w:sz="0" w:space="0" w:color="auto"/>
        <w:left w:val="none" w:sz="0" w:space="0" w:color="auto"/>
        <w:bottom w:val="none" w:sz="0" w:space="0" w:color="auto"/>
        <w:right w:val="none" w:sz="0" w:space="0" w:color="auto"/>
      </w:divBdr>
    </w:div>
    <w:div w:id="150684460">
      <w:bodyDiv w:val="1"/>
      <w:marLeft w:val="0"/>
      <w:marRight w:val="0"/>
      <w:marTop w:val="0"/>
      <w:marBottom w:val="0"/>
      <w:divBdr>
        <w:top w:val="none" w:sz="0" w:space="0" w:color="auto"/>
        <w:left w:val="none" w:sz="0" w:space="0" w:color="auto"/>
        <w:bottom w:val="none" w:sz="0" w:space="0" w:color="auto"/>
        <w:right w:val="none" w:sz="0" w:space="0" w:color="auto"/>
      </w:divBdr>
    </w:div>
    <w:div w:id="179272597">
      <w:bodyDiv w:val="1"/>
      <w:marLeft w:val="0"/>
      <w:marRight w:val="0"/>
      <w:marTop w:val="0"/>
      <w:marBottom w:val="0"/>
      <w:divBdr>
        <w:top w:val="none" w:sz="0" w:space="0" w:color="auto"/>
        <w:left w:val="none" w:sz="0" w:space="0" w:color="auto"/>
        <w:bottom w:val="none" w:sz="0" w:space="0" w:color="auto"/>
        <w:right w:val="none" w:sz="0" w:space="0" w:color="auto"/>
      </w:divBdr>
    </w:div>
    <w:div w:id="194774363">
      <w:bodyDiv w:val="1"/>
      <w:marLeft w:val="0"/>
      <w:marRight w:val="0"/>
      <w:marTop w:val="0"/>
      <w:marBottom w:val="0"/>
      <w:divBdr>
        <w:top w:val="none" w:sz="0" w:space="0" w:color="auto"/>
        <w:left w:val="none" w:sz="0" w:space="0" w:color="auto"/>
        <w:bottom w:val="none" w:sz="0" w:space="0" w:color="auto"/>
        <w:right w:val="none" w:sz="0" w:space="0" w:color="auto"/>
      </w:divBdr>
    </w:div>
    <w:div w:id="194852028">
      <w:bodyDiv w:val="1"/>
      <w:marLeft w:val="0"/>
      <w:marRight w:val="0"/>
      <w:marTop w:val="0"/>
      <w:marBottom w:val="0"/>
      <w:divBdr>
        <w:top w:val="none" w:sz="0" w:space="0" w:color="auto"/>
        <w:left w:val="none" w:sz="0" w:space="0" w:color="auto"/>
        <w:bottom w:val="none" w:sz="0" w:space="0" w:color="auto"/>
        <w:right w:val="none" w:sz="0" w:space="0" w:color="auto"/>
      </w:divBdr>
    </w:div>
    <w:div w:id="230123556">
      <w:bodyDiv w:val="1"/>
      <w:marLeft w:val="0"/>
      <w:marRight w:val="0"/>
      <w:marTop w:val="0"/>
      <w:marBottom w:val="0"/>
      <w:divBdr>
        <w:top w:val="none" w:sz="0" w:space="0" w:color="auto"/>
        <w:left w:val="none" w:sz="0" w:space="0" w:color="auto"/>
        <w:bottom w:val="none" w:sz="0" w:space="0" w:color="auto"/>
        <w:right w:val="none" w:sz="0" w:space="0" w:color="auto"/>
      </w:divBdr>
    </w:div>
    <w:div w:id="271785328">
      <w:bodyDiv w:val="1"/>
      <w:marLeft w:val="0"/>
      <w:marRight w:val="0"/>
      <w:marTop w:val="0"/>
      <w:marBottom w:val="0"/>
      <w:divBdr>
        <w:top w:val="none" w:sz="0" w:space="0" w:color="auto"/>
        <w:left w:val="none" w:sz="0" w:space="0" w:color="auto"/>
        <w:bottom w:val="none" w:sz="0" w:space="0" w:color="auto"/>
        <w:right w:val="none" w:sz="0" w:space="0" w:color="auto"/>
      </w:divBdr>
    </w:div>
    <w:div w:id="277372377">
      <w:bodyDiv w:val="1"/>
      <w:marLeft w:val="0"/>
      <w:marRight w:val="0"/>
      <w:marTop w:val="0"/>
      <w:marBottom w:val="0"/>
      <w:divBdr>
        <w:top w:val="none" w:sz="0" w:space="0" w:color="auto"/>
        <w:left w:val="none" w:sz="0" w:space="0" w:color="auto"/>
        <w:bottom w:val="none" w:sz="0" w:space="0" w:color="auto"/>
        <w:right w:val="none" w:sz="0" w:space="0" w:color="auto"/>
      </w:divBdr>
    </w:div>
    <w:div w:id="306202983">
      <w:bodyDiv w:val="1"/>
      <w:marLeft w:val="0"/>
      <w:marRight w:val="0"/>
      <w:marTop w:val="0"/>
      <w:marBottom w:val="0"/>
      <w:divBdr>
        <w:top w:val="none" w:sz="0" w:space="0" w:color="auto"/>
        <w:left w:val="none" w:sz="0" w:space="0" w:color="auto"/>
        <w:bottom w:val="none" w:sz="0" w:space="0" w:color="auto"/>
        <w:right w:val="none" w:sz="0" w:space="0" w:color="auto"/>
      </w:divBdr>
      <w:divsChild>
        <w:div w:id="152452118">
          <w:marLeft w:val="0"/>
          <w:marRight w:val="0"/>
          <w:marTop w:val="0"/>
          <w:marBottom w:val="0"/>
          <w:divBdr>
            <w:top w:val="none" w:sz="0" w:space="0" w:color="auto"/>
            <w:left w:val="none" w:sz="0" w:space="0" w:color="auto"/>
            <w:bottom w:val="none" w:sz="0" w:space="0" w:color="auto"/>
            <w:right w:val="none" w:sz="0" w:space="0" w:color="auto"/>
          </w:divBdr>
        </w:div>
        <w:div w:id="958031733">
          <w:marLeft w:val="0"/>
          <w:marRight w:val="0"/>
          <w:marTop w:val="0"/>
          <w:marBottom w:val="0"/>
          <w:divBdr>
            <w:top w:val="none" w:sz="0" w:space="0" w:color="auto"/>
            <w:left w:val="none" w:sz="0" w:space="0" w:color="auto"/>
            <w:bottom w:val="none" w:sz="0" w:space="0" w:color="auto"/>
            <w:right w:val="none" w:sz="0" w:space="0" w:color="auto"/>
          </w:divBdr>
        </w:div>
      </w:divsChild>
    </w:div>
    <w:div w:id="312610711">
      <w:bodyDiv w:val="1"/>
      <w:marLeft w:val="0"/>
      <w:marRight w:val="0"/>
      <w:marTop w:val="0"/>
      <w:marBottom w:val="0"/>
      <w:divBdr>
        <w:top w:val="none" w:sz="0" w:space="0" w:color="auto"/>
        <w:left w:val="none" w:sz="0" w:space="0" w:color="auto"/>
        <w:bottom w:val="none" w:sz="0" w:space="0" w:color="auto"/>
        <w:right w:val="none" w:sz="0" w:space="0" w:color="auto"/>
      </w:divBdr>
    </w:div>
    <w:div w:id="384766076">
      <w:bodyDiv w:val="1"/>
      <w:marLeft w:val="0"/>
      <w:marRight w:val="0"/>
      <w:marTop w:val="0"/>
      <w:marBottom w:val="0"/>
      <w:divBdr>
        <w:top w:val="none" w:sz="0" w:space="0" w:color="auto"/>
        <w:left w:val="none" w:sz="0" w:space="0" w:color="auto"/>
        <w:bottom w:val="none" w:sz="0" w:space="0" w:color="auto"/>
        <w:right w:val="none" w:sz="0" w:space="0" w:color="auto"/>
      </w:divBdr>
    </w:div>
    <w:div w:id="412508037">
      <w:bodyDiv w:val="1"/>
      <w:marLeft w:val="0"/>
      <w:marRight w:val="0"/>
      <w:marTop w:val="0"/>
      <w:marBottom w:val="0"/>
      <w:divBdr>
        <w:top w:val="none" w:sz="0" w:space="0" w:color="auto"/>
        <w:left w:val="none" w:sz="0" w:space="0" w:color="auto"/>
        <w:bottom w:val="none" w:sz="0" w:space="0" w:color="auto"/>
        <w:right w:val="none" w:sz="0" w:space="0" w:color="auto"/>
      </w:divBdr>
    </w:div>
    <w:div w:id="510921280">
      <w:bodyDiv w:val="1"/>
      <w:marLeft w:val="0"/>
      <w:marRight w:val="0"/>
      <w:marTop w:val="0"/>
      <w:marBottom w:val="0"/>
      <w:divBdr>
        <w:top w:val="none" w:sz="0" w:space="0" w:color="auto"/>
        <w:left w:val="none" w:sz="0" w:space="0" w:color="auto"/>
        <w:bottom w:val="none" w:sz="0" w:space="0" w:color="auto"/>
        <w:right w:val="none" w:sz="0" w:space="0" w:color="auto"/>
      </w:divBdr>
    </w:div>
    <w:div w:id="542601731">
      <w:bodyDiv w:val="1"/>
      <w:marLeft w:val="0"/>
      <w:marRight w:val="0"/>
      <w:marTop w:val="0"/>
      <w:marBottom w:val="0"/>
      <w:divBdr>
        <w:top w:val="none" w:sz="0" w:space="0" w:color="auto"/>
        <w:left w:val="none" w:sz="0" w:space="0" w:color="auto"/>
        <w:bottom w:val="none" w:sz="0" w:space="0" w:color="auto"/>
        <w:right w:val="none" w:sz="0" w:space="0" w:color="auto"/>
      </w:divBdr>
    </w:div>
    <w:div w:id="549003684">
      <w:bodyDiv w:val="1"/>
      <w:marLeft w:val="0"/>
      <w:marRight w:val="0"/>
      <w:marTop w:val="0"/>
      <w:marBottom w:val="0"/>
      <w:divBdr>
        <w:top w:val="none" w:sz="0" w:space="0" w:color="auto"/>
        <w:left w:val="none" w:sz="0" w:space="0" w:color="auto"/>
        <w:bottom w:val="none" w:sz="0" w:space="0" w:color="auto"/>
        <w:right w:val="none" w:sz="0" w:space="0" w:color="auto"/>
      </w:divBdr>
    </w:div>
    <w:div w:id="578904741">
      <w:bodyDiv w:val="1"/>
      <w:marLeft w:val="0"/>
      <w:marRight w:val="0"/>
      <w:marTop w:val="0"/>
      <w:marBottom w:val="0"/>
      <w:divBdr>
        <w:top w:val="none" w:sz="0" w:space="0" w:color="auto"/>
        <w:left w:val="none" w:sz="0" w:space="0" w:color="auto"/>
        <w:bottom w:val="none" w:sz="0" w:space="0" w:color="auto"/>
        <w:right w:val="none" w:sz="0" w:space="0" w:color="auto"/>
      </w:divBdr>
    </w:div>
    <w:div w:id="628441406">
      <w:bodyDiv w:val="1"/>
      <w:marLeft w:val="0"/>
      <w:marRight w:val="0"/>
      <w:marTop w:val="0"/>
      <w:marBottom w:val="0"/>
      <w:divBdr>
        <w:top w:val="none" w:sz="0" w:space="0" w:color="auto"/>
        <w:left w:val="none" w:sz="0" w:space="0" w:color="auto"/>
        <w:bottom w:val="none" w:sz="0" w:space="0" w:color="auto"/>
        <w:right w:val="none" w:sz="0" w:space="0" w:color="auto"/>
      </w:divBdr>
    </w:div>
    <w:div w:id="669647811">
      <w:bodyDiv w:val="1"/>
      <w:marLeft w:val="0"/>
      <w:marRight w:val="0"/>
      <w:marTop w:val="0"/>
      <w:marBottom w:val="0"/>
      <w:divBdr>
        <w:top w:val="none" w:sz="0" w:space="0" w:color="auto"/>
        <w:left w:val="none" w:sz="0" w:space="0" w:color="auto"/>
        <w:bottom w:val="none" w:sz="0" w:space="0" w:color="auto"/>
        <w:right w:val="none" w:sz="0" w:space="0" w:color="auto"/>
      </w:divBdr>
    </w:div>
    <w:div w:id="685330679">
      <w:bodyDiv w:val="1"/>
      <w:marLeft w:val="0"/>
      <w:marRight w:val="0"/>
      <w:marTop w:val="0"/>
      <w:marBottom w:val="0"/>
      <w:divBdr>
        <w:top w:val="none" w:sz="0" w:space="0" w:color="auto"/>
        <w:left w:val="none" w:sz="0" w:space="0" w:color="auto"/>
        <w:bottom w:val="none" w:sz="0" w:space="0" w:color="auto"/>
        <w:right w:val="none" w:sz="0" w:space="0" w:color="auto"/>
      </w:divBdr>
    </w:div>
    <w:div w:id="861043787">
      <w:bodyDiv w:val="1"/>
      <w:marLeft w:val="0"/>
      <w:marRight w:val="0"/>
      <w:marTop w:val="0"/>
      <w:marBottom w:val="0"/>
      <w:divBdr>
        <w:top w:val="none" w:sz="0" w:space="0" w:color="auto"/>
        <w:left w:val="none" w:sz="0" w:space="0" w:color="auto"/>
        <w:bottom w:val="none" w:sz="0" w:space="0" w:color="auto"/>
        <w:right w:val="none" w:sz="0" w:space="0" w:color="auto"/>
      </w:divBdr>
      <w:divsChild>
        <w:div w:id="1572931259">
          <w:marLeft w:val="0"/>
          <w:marRight w:val="0"/>
          <w:marTop w:val="0"/>
          <w:marBottom w:val="0"/>
          <w:divBdr>
            <w:top w:val="none" w:sz="0" w:space="0" w:color="auto"/>
            <w:left w:val="none" w:sz="0" w:space="0" w:color="auto"/>
            <w:bottom w:val="none" w:sz="0" w:space="0" w:color="auto"/>
            <w:right w:val="none" w:sz="0" w:space="0" w:color="auto"/>
          </w:divBdr>
          <w:divsChild>
            <w:div w:id="1518036027">
              <w:marLeft w:val="0"/>
              <w:marRight w:val="0"/>
              <w:marTop w:val="0"/>
              <w:marBottom w:val="0"/>
              <w:divBdr>
                <w:top w:val="none" w:sz="0" w:space="0" w:color="auto"/>
                <w:left w:val="none" w:sz="0" w:space="0" w:color="auto"/>
                <w:bottom w:val="none" w:sz="0" w:space="0" w:color="auto"/>
                <w:right w:val="none" w:sz="0" w:space="0" w:color="auto"/>
              </w:divBdr>
              <w:divsChild>
                <w:div w:id="1601527820">
                  <w:marLeft w:val="0"/>
                  <w:marRight w:val="0"/>
                  <w:marTop w:val="0"/>
                  <w:marBottom w:val="0"/>
                  <w:divBdr>
                    <w:top w:val="none" w:sz="0" w:space="0" w:color="auto"/>
                    <w:left w:val="none" w:sz="0" w:space="0" w:color="auto"/>
                    <w:bottom w:val="none" w:sz="0" w:space="0" w:color="auto"/>
                    <w:right w:val="none" w:sz="0" w:space="0" w:color="auto"/>
                  </w:divBdr>
                  <w:divsChild>
                    <w:div w:id="1497644179">
                      <w:marLeft w:val="0"/>
                      <w:marRight w:val="0"/>
                      <w:marTop w:val="0"/>
                      <w:marBottom w:val="0"/>
                      <w:divBdr>
                        <w:top w:val="none" w:sz="0" w:space="0" w:color="auto"/>
                        <w:left w:val="none" w:sz="0" w:space="0" w:color="auto"/>
                        <w:bottom w:val="none" w:sz="0" w:space="0" w:color="auto"/>
                        <w:right w:val="none" w:sz="0" w:space="0" w:color="auto"/>
                      </w:divBdr>
                      <w:divsChild>
                        <w:div w:id="67508895">
                          <w:marLeft w:val="0"/>
                          <w:marRight w:val="0"/>
                          <w:marTop w:val="0"/>
                          <w:marBottom w:val="0"/>
                          <w:divBdr>
                            <w:top w:val="none" w:sz="0" w:space="0" w:color="auto"/>
                            <w:left w:val="none" w:sz="0" w:space="0" w:color="auto"/>
                            <w:bottom w:val="none" w:sz="0" w:space="0" w:color="auto"/>
                            <w:right w:val="none" w:sz="0" w:space="0" w:color="auto"/>
                          </w:divBdr>
                          <w:divsChild>
                            <w:div w:id="526334907">
                              <w:marLeft w:val="0"/>
                              <w:marRight w:val="0"/>
                              <w:marTop w:val="0"/>
                              <w:marBottom w:val="0"/>
                              <w:divBdr>
                                <w:top w:val="none" w:sz="0" w:space="0" w:color="auto"/>
                                <w:left w:val="none" w:sz="0" w:space="0" w:color="auto"/>
                                <w:bottom w:val="none" w:sz="0" w:space="0" w:color="auto"/>
                                <w:right w:val="none" w:sz="0" w:space="0" w:color="auto"/>
                              </w:divBdr>
                              <w:divsChild>
                                <w:div w:id="1913813255">
                                  <w:marLeft w:val="0"/>
                                  <w:marRight w:val="0"/>
                                  <w:marTop w:val="0"/>
                                  <w:marBottom w:val="0"/>
                                  <w:divBdr>
                                    <w:top w:val="none" w:sz="0" w:space="0" w:color="auto"/>
                                    <w:left w:val="none" w:sz="0" w:space="0" w:color="auto"/>
                                    <w:bottom w:val="none" w:sz="0" w:space="0" w:color="auto"/>
                                    <w:right w:val="none" w:sz="0" w:space="0" w:color="auto"/>
                                  </w:divBdr>
                                  <w:divsChild>
                                    <w:div w:id="258681515">
                                      <w:marLeft w:val="0"/>
                                      <w:marRight w:val="0"/>
                                      <w:marTop w:val="0"/>
                                      <w:marBottom w:val="0"/>
                                      <w:divBdr>
                                        <w:top w:val="none" w:sz="0" w:space="0" w:color="auto"/>
                                        <w:left w:val="none" w:sz="0" w:space="0" w:color="auto"/>
                                        <w:bottom w:val="none" w:sz="0" w:space="0" w:color="auto"/>
                                        <w:right w:val="none" w:sz="0" w:space="0" w:color="auto"/>
                                      </w:divBdr>
                                      <w:divsChild>
                                        <w:div w:id="1343124335">
                                          <w:marLeft w:val="0"/>
                                          <w:marRight w:val="0"/>
                                          <w:marTop w:val="0"/>
                                          <w:marBottom w:val="0"/>
                                          <w:divBdr>
                                            <w:top w:val="none" w:sz="0" w:space="0" w:color="auto"/>
                                            <w:left w:val="none" w:sz="0" w:space="0" w:color="auto"/>
                                            <w:bottom w:val="none" w:sz="0" w:space="0" w:color="auto"/>
                                            <w:right w:val="none" w:sz="0" w:space="0" w:color="auto"/>
                                          </w:divBdr>
                                          <w:divsChild>
                                            <w:div w:id="899365877">
                                              <w:marLeft w:val="0"/>
                                              <w:marRight w:val="0"/>
                                              <w:marTop w:val="0"/>
                                              <w:marBottom w:val="0"/>
                                              <w:divBdr>
                                                <w:top w:val="none" w:sz="0" w:space="0" w:color="auto"/>
                                                <w:left w:val="none" w:sz="0" w:space="0" w:color="auto"/>
                                                <w:bottom w:val="none" w:sz="0" w:space="0" w:color="auto"/>
                                                <w:right w:val="none" w:sz="0" w:space="0" w:color="auto"/>
                                              </w:divBdr>
                                              <w:divsChild>
                                                <w:div w:id="160435229">
                                                  <w:marLeft w:val="0"/>
                                                  <w:marRight w:val="0"/>
                                                  <w:marTop w:val="0"/>
                                                  <w:marBottom w:val="0"/>
                                                  <w:divBdr>
                                                    <w:top w:val="none" w:sz="0" w:space="0" w:color="auto"/>
                                                    <w:left w:val="none" w:sz="0" w:space="0" w:color="auto"/>
                                                    <w:bottom w:val="none" w:sz="0" w:space="0" w:color="auto"/>
                                                    <w:right w:val="none" w:sz="0" w:space="0" w:color="auto"/>
                                                  </w:divBdr>
                                                  <w:divsChild>
                                                    <w:div w:id="308287233">
                                                      <w:marLeft w:val="0"/>
                                                      <w:marRight w:val="0"/>
                                                      <w:marTop w:val="0"/>
                                                      <w:marBottom w:val="0"/>
                                                      <w:divBdr>
                                                        <w:top w:val="none" w:sz="0" w:space="0" w:color="auto"/>
                                                        <w:left w:val="none" w:sz="0" w:space="0" w:color="auto"/>
                                                        <w:bottom w:val="none" w:sz="0" w:space="0" w:color="auto"/>
                                                        <w:right w:val="none" w:sz="0" w:space="0" w:color="auto"/>
                                                      </w:divBdr>
                                                      <w:divsChild>
                                                        <w:div w:id="2130933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92156040">
      <w:bodyDiv w:val="1"/>
      <w:marLeft w:val="0"/>
      <w:marRight w:val="0"/>
      <w:marTop w:val="0"/>
      <w:marBottom w:val="0"/>
      <w:divBdr>
        <w:top w:val="none" w:sz="0" w:space="0" w:color="auto"/>
        <w:left w:val="none" w:sz="0" w:space="0" w:color="auto"/>
        <w:bottom w:val="none" w:sz="0" w:space="0" w:color="auto"/>
        <w:right w:val="none" w:sz="0" w:space="0" w:color="auto"/>
      </w:divBdr>
    </w:div>
    <w:div w:id="895629537">
      <w:bodyDiv w:val="1"/>
      <w:marLeft w:val="0"/>
      <w:marRight w:val="0"/>
      <w:marTop w:val="0"/>
      <w:marBottom w:val="0"/>
      <w:divBdr>
        <w:top w:val="none" w:sz="0" w:space="0" w:color="auto"/>
        <w:left w:val="none" w:sz="0" w:space="0" w:color="auto"/>
        <w:bottom w:val="none" w:sz="0" w:space="0" w:color="auto"/>
        <w:right w:val="none" w:sz="0" w:space="0" w:color="auto"/>
      </w:divBdr>
    </w:div>
    <w:div w:id="903562543">
      <w:bodyDiv w:val="1"/>
      <w:marLeft w:val="0"/>
      <w:marRight w:val="0"/>
      <w:marTop w:val="0"/>
      <w:marBottom w:val="0"/>
      <w:divBdr>
        <w:top w:val="none" w:sz="0" w:space="0" w:color="auto"/>
        <w:left w:val="none" w:sz="0" w:space="0" w:color="auto"/>
        <w:bottom w:val="none" w:sz="0" w:space="0" w:color="auto"/>
        <w:right w:val="none" w:sz="0" w:space="0" w:color="auto"/>
      </w:divBdr>
    </w:div>
    <w:div w:id="913129206">
      <w:bodyDiv w:val="1"/>
      <w:marLeft w:val="0"/>
      <w:marRight w:val="0"/>
      <w:marTop w:val="0"/>
      <w:marBottom w:val="0"/>
      <w:divBdr>
        <w:top w:val="none" w:sz="0" w:space="0" w:color="auto"/>
        <w:left w:val="none" w:sz="0" w:space="0" w:color="auto"/>
        <w:bottom w:val="none" w:sz="0" w:space="0" w:color="auto"/>
        <w:right w:val="none" w:sz="0" w:space="0" w:color="auto"/>
      </w:divBdr>
    </w:div>
    <w:div w:id="914363375">
      <w:bodyDiv w:val="1"/>
      <w:marLeft w:val="0"/>
      <w:marRight w:val="0"/>
      <w:marTop w:val="0"/>
      <w:marBottom w:val="0"/>
      <w:divBdr>
        <w:top w:val="none" w:sz="0" w:space="0" w:color="auto"/>
        <w:left w:val="none" w:sz="0" w:space="0" w:color="auto"/>
        <w:bottom w:val="none" w:sz="0" w:space="0" w:color="auto"/>
        <w:right w:val="none" w:sz="0" w:space="0" w:color="auto"/>
      </w:divBdr>
      <w:divsChild>
        <w:div w:id="607395760">
          <w:marLeft w:val="0"/>
          <w:marRight w:val="0"/>
          <w:marTop w:val="0"/>
          <w:marBottom w:val="0"/>
          <w:divBdr>
            <w:top w:val="none" w:sz="0" w:space="0" w:color="auto"/>
            <w:left w:val="none" w:sz="0" w:space="0" w:color="auto"/>
            <w:bottom w:val="none" w:sz="0" w:space="0" w:color="auto"/>
            <w:right w:val="none" w:sz="0" w:space="0" w:color="auto"/>
          </w:divBdr>
          <w:divsChild>
            <w:div w:id="948010394">
              <w:marLeft w:val="0"/>
              <w:marRight w:val="0"/>
              <w:marTop w:val="0"/>
              <w:marBottom w:val="0"/>
              <w:divBdr>
                <w:top w:val="none" w:sz="0" w:space="0" w:color="auto"/>
                <w:left w:val="none" w:sz="0" w:space="0" w:color="auto"/>
                <w:bottom w:val="none" w:sz="0" w:space="0" w:color="auto"/>
                <w:right w:val="none" w:sz="0" w:space="0" w:color="auto"/>
              </w:divBdr>
              <w:divsChild>
                <w:div w:id="1686981605">
                  <w:marLeft w:val="0"/>
                  <w:marRight w:val="0"/>
                  <w:marTop w:val="0"/>
                  <w:marBottom w:val="0"/>
                  <w:divBdr>
                    <w:top w:val="none" w:sz="0" w:space="0" w:color="auto"/>
                    <w:left w:val="none" w:sz="0" w:space="0" w:color="auto"/>
                    <w:bottom w:val="none" w:sz="0" w:space="0" w:color="auto"/>
                    <w:right w:val="none" w:sz="0" w:space="0" w:color="auto"/>
                  </w:divBdr>
                  <w:divsChild>
                    <w:div w:id="341325273">
                      <w:marLeft w:val="0"/>
                      <w:marRight w:val="0"/>
                      <w:marTop w:val="0"/>
                      <w:marBottom w:val="0"/>
                      <w:divBdr>
                        <w:top w:val="none" w:sz="0" w:space="0" w:color="auto"/>
                        <w:left w:val="none" w:sz="0" w:space="0" w:color="auto"/>
                        <w:bottom w:val="none" w:sz="0" w:space="0" w:color="auto"/>
                        <w:right w:val="none" w:sz="0" w:space="0" w:color="auto"/>
                      </w:divBdr>
                      <w:divsChild>
                        <w:div w:id="1032337429">
                          <w:marLeft w:val="0"/>
                          <w:marRight w:val="0"/>
                          <w:marTop w:val="0"/>
                          <w:marBottom w:val="0"/>
                          <w:divBdr>
                            <w:top w:val="none" w:sz="0" w:space="0" w:color="auto"/>
                            <w:left w:val="none" w:sz="0" w:space="0" w:color="auto"/>
                            <w:bottom w:val="none" w:sz="0" w:space="0" w:color="auto"/>
                            <w:right w:val="none" w:sz="0" w:space="0" w:color="auto"/>
                          </w:divBdr>
                          <w:divsChild>
                            <w:div w:id="23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7400426">
      <w:bodyDiv w:val="1"/>
      <w:marLeft w:val="0"/>
      <w:marRight w:val="0"/>
      <w:marTop w:val="0"/>
      <w:marBottom w:val="0"/>
      <w:divBdr>
        <w:top w:val="none" w:sz="0" w:space="0" w:color="auto"/>
        <w:left w:val="none" w:sz="0" w:space="0" w:color="auto"/>
        <w:bottom w:val="none" w:sz="0" w:space="0" w:color="auto"/>
        <w:right w:val="none" w:sz="0" w:space="0" w:color="auto"/>
      </w:divBdr>
    </w:div>
    <w:div w:id="939988173">
      <w:bodyDiv w:val="1"/>
      <w:marLeft w:val="0"/>
      <w:marRight w:val="0"/>
      <w:marTop w:val="0"/>
      <w:marBottom w:val="0"/>
      <w:divBdr>
        <w:top w:val="none" w:sz="0" w:space="0" w:color="auto"/>
        <w:left w:val="none" w:sz="0" w:space="0" w:color="auto"/>
        <w:bottom w:val="none" w:sz="0" w:space="0" w:color="auto"/>
        <w:right w:val="none" w:sz="0" w:space="0" w:color="auto"/>
      </w:divBdr>
    </w:div>
    <w:div w:id="945575544">
      <w:bodyDiv w:val="1"/>
      <w:marLeft w:val="0"/>
      <w:marRight w:val="0"/>
      <w:marTop w:val="0"/>
      <w:marBottom w:val="0"/>
      <w:divBdr>
        <w:top w:val="none" w:sz="0" w:space="0" w:color="auto"/>
        <w:left w:val="none" w:sz="0" w:space="0" w:color="auto"/>
        <w:bottom w:val="none" w:sz="0" w:space="0" w:color="auto"/>
        <w:right w:val="none" w:sz="0" w:space="0" w:color="auto"/>
      </w:divBdr>
    </w:div>
    <w:div w:id="949750500">
      <w:bodyDiv w:val="1"/>
      <w:marLeft w:val="0"/>
      <w:marRight w:val="0"/>
      <w:marTop w:val="0"/>
      <w:marBottom w:val="0"/>
      <w:divBdr>
        <w:top w:val="none" w:sz="0" w:space="0" w:color="auto"/>
        <w:left w:val="none" w:sz="0" w:space="0" w:color="auto"/>
        <w:bottom w:val="none" w:sz="0" w:space="0" w:color="auto"/>
        <w:right w:val="none" w:sz="0" w:space="0" w:color="auto"/>
      </w:divBdr>
    </w:div>
    <w:div w:id="988676938">
      <w:bodyDiv w:val="1"/>
      <w:marLeft w:val="0"/>
      <w:marRight w:val="0"/>
      <w:marTop w:val="0"/>
      <w:marBottom w:val="0"/>
      <w:divBdr>
        <w:top w:val="none" w:sz="0" w:space="0" w:color="auto"/>
        <w:left w:val="none" w:sz="0" w:space="0" w:color="auto"/>
        <w:bottom w:val="none" w:sz="0" w:space="0" w:color="auto"/>
        <w:right w:val="none" w:sz="0" w:space="0" w:color="auto"/>
      </w:divBdr>
    </w:div>
    <w:div w:id="1059019657">
      <w:bodyDiv w:val="1"/>
      <w:marLeft w:val="0"/>
      <w:marRight w:val="0"/>
      <w:marTop w:val="0"/>
      <w:marBottom w:val="0"/>
      <w:divBdr>
        <w:top w:val="none" w:sz="0" w:space="0" w:color="auto"/>
        <w:left w:val="none" w:sz="0" w:space="0" w:color="auto"/>
        <w:bottom w:val="none" w:sz="0" w:space="0" w:color="auto"/>
        <w:right w:val="none" w:sz="0" w:space="0" w:color="auto"/>
      </w:divBdr>
    </w:div>
    <w:div w:id="1077703642">
      <w:bodyDiv w:val="1"/>
      <w:marLeft w:val="0"/>
      <w:marRight w:val="0"/>
      <w:marTop w:val="0"/>
      <w:marBottom w:val="0"/>
      <w:divBdr>
        <w:top w:val="none" w:sz="0" w:space="0" w:color="auto"/>
        <w:left w:val="none" w:sz="0" w:space="0" w:color="auto"/>
        <w:bottom w:val="none" w:sz="0" w:space="0" w:color="auto"/>
        <w:right w:val="none" w:sz="0" w:space="0" w:color="auto"/>
      </w:divBdr>
      <w:divsChild>
        <w:div w:id="104471676">
          <w:marLeft w:val="0"/>
          <w:marRight w:val="0"/>
          <w:marTop w:val="0"/>
          <w:marBottom w:val="0"/>
          <w:divBdr>
            <w:top w:val="none" w:sz="0" w:space="0" w:color="auto"/>
            <w:left w:val="none" w:sz="0" w:space="0" w:color="auto"/>
            <w:bottom w:val="none" w:sz="0" w:space="0" w:color="auto"/>
            <w:right w:val="none" w:sz="0" w:space="0" w:color="auto"/>
          </w:divBdr>
          <w:divsChild>
            <w:div w:id="1250962966">
              <w:marLeft w:val="0"/>
              <w:marRight w:val="0"/>
              <w:marTop w:val="0"/>
              <w:marBottom w:val="0"/>
              <w:divBdr>
                <w:top w:val="none" w:sz="0" w:space="0" w:color="auto"/>
                <w:left w:val="none" w:sz="0" w:space="0" w:color="auto"/>
                <w:bottom w:val="none" w:sz="0" w:space="0" w:color="auto"/>
                <w:right w:val="none" w:sz="0" w:space="0" w:color="auto"/>
              </w:divBdr>
              <w:divsChild>
                <w:div w:id="277682923">
                  <w:marLeft w:val="0"/>
                  <w:marRight w:val="0"/>
                  <w:marTop w:val="0"/>
                  <w:marBottom w:val="0"/>
                  <w:divBdr>
                    <w:top w:val="none" w:sz="0" w:space="0" w:color="auto"/>
                    <w:left w:val="none" w:sz="0" w:space="0" w:color="auto"/>
                    <w:bottom w:val="none" w:sz="0" w:space="0" w:color="auto"/>
                    <w:right w:val="none" w:sz="0" w:space="0" w:color="auto"/>
                  </w:divBdr>
                  <w:divsChild>
                    <w:div w:id="260067447">
                      <w:marLeft w:val="0"/>
                      <w:marRight w:val="0"/>
                      <w:marTop w:val="0"/>
                      <w:marBottom w:val="0"/>
                      <w:divBdr>
                        <w:top w:val="none" w:sz="0" w:space="0" w:color="auto"/>
                        <w:left w:val="none" w:sz="0" w:space="0" w:color="auto"/>
                        <w:bottom w:val="none" w:sz="0" w:space="0" w:color="auto"/>
                        <w:right w:val="none" w:sz="0" w:space="0" w:color="auto"/>
                      </w:divBdr>
                      <w:divsChild>
                        <w:div w:id="1026642456">
                          <w:marLeft w:val="0"/>
                          <w:marRight w:val="0"/>
                          <w:marTop w:val="0"/>
                          <w:marBottom w:val="0"/>
                          <w:divBdr>
                            <w:top w:val="none" w:sz="0" w:space="0" w:color="auto"/>
                            <w:left w:val="none" w:sz="0" w:space="0" w:color="auto"/>
                            <w:bottom w:val="none" w:sz="0" w:space="0" w:color="auto"/>
                            <w:right w:val="none" w:sz="0" w:space="0" w:color="auto"/>
                          </w:divBdr>
                          <w:divsChild>
                            <w:div w:id="765155449">
                              <w:marLeft w:val="0"/>
                              <w:marRight w:val="0"/>
                              <w:marTop w:val="0"/>
                              <w:marBottom w:val="0"/>
                              <w:divBdr>
                                <w:top w:val="none" w:sz="0" w:space="0" w:color="auto"/>
                                <w:left w:val="none" w:sz="0" w:space="0" w:color="auto"/>
                                <w:bottom w:val="none" w:sz="0" w:space="0" w:color="auto"/>
                                <w:right w:val="none" w:sz="0" w:space="0" w:color="auto"/>
                              </w:divBdr>
                              <w:divsChild>
                                <w:div w:id="526067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3978306">
                  <w:marLeft w:val="0"/>
                  <w:marRight w:val="0"/>
                  <w:marTop w:val="0"/>
                  <w:marBottom w:val="0"/>
                  <w:divBdr>
                    <w:top w:val="none" w:sz="0" w:space="0" w:color="auto"/>
                    <w:left w:val="none" w:sz="0" w:space="0" w:color="auto"/>
                    <w:bottom w:val="none" w:sz="0" w:space="0" w:color="auto"/>
                    <w:right w:val="none" w:sz="0" w:space="0" w:color="auto"/>
                  </w:divBdr>
                  <w:divsChild>
                    <w:div w:id="788278610">
                      <w:marLeft w:val="0"/>
                      <w:marRight w:val="0"/>
                      <w:marTop w:val="0"/>
                      <w:marBottom w:val="0"/>
                      <w:divBdr>
                        <w:top w:val="none" w:sz="0" w:space="0" w:color="auto"/>
                        <w:left w:val="none" w:sz="0" w:space="0" w:color="auto"/>
                        <w:bottom w:val="none" w:sz="0" w:space="0" w:color="auto"/>
                        <w:right w:val="none" w:sz="0" w:space="0" w:color="auto"/>
                      </w:divBdr>
                      <w:divsChild>
                        <w:div w:id="263421845">
                          <w:marLeft w:val="0"/>
                          <w:marRight w:val="0"/>
                          <w:marTop w:val="0"/>
                          <w:marBottom w:val="0"/>
                          <w:divBdr>
                            <w:top w:val="none" w:sz="0" w:space="0" w:color="auto"/>
                            <w:left w:val="none" w:sz="0" w:space="0" w:color="auto"/>
                            <w:bottom w:val="none" w:sz="0" w:space="0" w:color="auto"/>
                            <w:right w:val="none" w:sz="0" w:space="0" w:color="auto"/>
                          </w:divBdr>
                          <w:divsChild>
                            <w:div w:id="2057849985">
                              <w:marLeft w:val="0"/>
                              <w:marRight w:val="0"/>
                              <w:marTop w:val="0"/>
                              <w:marBottom w:val="0"/>
                              <w:divBdr>
                                <w:top w:val="none" w:sz="0" w:space="0" w:color="auto"/>
                                <w:left w:val="none" w:sz="0" w:space="0" w:color="auto"/>
                                <w:bottom w:val="none" w:sz="0" w:space="0" w:color="auto"/>
                                <w:right w:val="none" w:sz="0" w:space="0" w:color="auto"/>
                              </w:divBdr>
                              <w:divsChild>
                                <w:div w:id="726494392">
                                  <w:marLeft w:val="0"/>
                                  <w:marRight w:val="0"/>
                                  <w:marTop w:val="0"/>
                                  <w:marBottom w:val="0"/>
                                  <w:divBdr>
                                    <w:top w:val="none" w:sz="0" w:space="0" w:color="auto"/>
                                    <w:left w:val="none" w:sz="0" w:space="0" w:color="auto"/>
                                    <w:bottom w:val="none" w:sz="0" w:space="0" w:color="auto"/>
                                    <w:right w:val="none" w:sz="0" w:space="0" w:color="auto"/>
                                  </w:divBdr>
                                  <w:divsChild>
                                    <w:div w:id="1105080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5278444">
          <w:marLeft w:val="0"/>
          <w:marRight w:val="0"/>
          <w:marTop w:val="0"/>
          <w:marBottom w:val="0"/>
          <w:divBdr>
            <w:top w:val="none" w:sz="0" w:space="0" w:color="auto"/>
            <w:left w:val="none" w:sz="0" w:space="0" w:color="auto"/>
            <w:bottom w:val="none" w:sz="0" w:space="0" w:color="auto"/>
            <w:right w:val="none" w:sz="0" w:space="0" w:color="auto"/>
          </w:divBdr>
          <w:divsChild>
            <w:div w:id="1463769498">
              <w:marLeft w:val="0"/>
              <w:marRight w:val="0"/>
              <w:marTop w:val="0"/>
              <w:marBottom w:val="0"/>
              <w:divBdr>
                <w:top w:val="none" w:sz="0" w:space="0" w:color="auto"/>
                <w:left w:val="none" w:sz="0" w:space="0" w:color="auto"/>
                <w:bottom w:val="none" w:sz="0" w:space="0" w:color="auto"/>
                <w:right w:val="none" w:sz="0" w:space="0" w:color="auto"/>
              </w:divBdr>
              <w:divsChild>
                <w:div w:id="913321713">
                  <w:marLeft w:val="0"/>
                  <w:marRight w:val="0"/>
                  <w:marTop w:val="0"/>
                  <w:marBottom w:val="0"/>
                  <w:divBdr>
                    <w:top w:val="none" w:sz="0" w:space="0" w:color="auto"/>
                    <w:left w:val="none" w:sz="0" w:space="0" w:color="auto"/>
                    <w:bottom w:val="none" w:sz="0" w:space="0" w:color="auto"/>
                    <w:right w:val="none" w:sz="0" w:space="0" w:color="auto"/>
                  </w:divBdr>
                  <w:divsChild>
                    <w:div w:id="2037274268">
                      <w:marLeft w:val="0"/>
                      <w:marRight w:val="0"/>
                      <w:marTop w:val="0"/>
                      <w:marBottom w:val="0"/>
                      <w:divBdr>
                        <w:top w:val="none" w:sz="0" w:space="0" w:color="auto"/>
                        <w:left w:val="none" w:sz="0" w:space="0" w:color="auto"/>
                        <w:bottom w:val="none" w:sz="0" w:space="0" w:color="auto"/>
                        <w:right w:val="none" w:sz="0" w:space="0" w:color="auto"/>
                      </w:divBdr>
                      <w:divsChild>
                        <w:div w:id="817570885">
                          <w:marLeft w:val="0"/>
                          <w:marRight w:val="0"/>
                          <w:marTop w:val="0"/>
                          <w:marBottom w:val="0"/>
                          <w:divBdr>
                            <w:top w:val="none" w:sz="0" w:space="0" w:color="auto"/>
                            <w:left w:val="none" w:sz="0" w:space="0" w:color="auto"/>
                            <w:bottom w:val="none" w:sz="0" w:space="0" w:color="auto"/>
                            <w:right w:val="none" w:sz="0" w:space="0" w:color="auto"/>
                          </w:divBdr>
                          <w:divsChild>
                            <w:div w:id="1844542500">
                              <w:marLeft w:val="0"/>
                              <w:marRight w:val="0"/>
                              <w:marTop w:val="0"/>
                              <w:marBottom w:val="0"/>
                              <w:divBdr>
                                <w:top w:val="none" w:sz="0" w:space="0" w:color="auto"/>
                                <w:left w:val="none" w:sz="0" w:space="0" w:color="auto"/>
                                <w:bottom w:val="none" w:sz="0" w:space="0" w:color="auto"/>
                                <w:right w:val="none" w:sz="0" w:space="0" w:color="auto"/>
                              </w:divBdr>
                              <w:divsChild>
                                <w:div w:id="2108112122">
                                  <w:marLeft w:val="0"/>
                                  <w:marRight w:val="0"/>
                                  <w:marTop w:val="0"/>
                                  <w:marBottom w:val="0"/>
                                  <w:divBdr>
                                    <w:top w:val="none" w:sz="0" w:space="0" w:color="auto"/>
                                    <w:left w:val="none" w:sz="0" w:space="0" w:color="auto"/>
                                    <w:bottom w:val="none" w:sz="0" w:space="0" w:color="auto"/>
                                    <w:right w:val="none" w:sz="0" w:space="0" w:color="auto"/>
                                  </w:divBdr>
                                  <w:divsChild>
                                    <w:div w:id="68663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94853563">
                  <w:marLeft w:val="0"/>
                  <w:marRight w:val="0"/>
                  <w:marTop w:val="0"/>
                  <w:marBottom w:val="0"/>
                  <w:divBdr>
                    <w:top w:val="none" w:sz="0" w:space="0" w:color="auto"/>
                    <w:left w:val="none" w:sz="0" w:space="0" w:color="auto"/>
                    <w:bottom w:val="none" w:sz="0" w:space="0" w:color="auto"/>
                    <w:right w:val="none" w:sz="0" w:space="0" w:color="auto"/>
                  </w:divBdr>
                  <w:divsChild>
                    <w:div w:id="1214734616">
                      <w:marLeft w:val="0"/>
                      <w:marRight w:val="0"/>
                      <w:marTop w:val="0"/>
                      <w:marBottom w:val="0"/>
                      <w:divBdr>
                        <w:top w:val="none" w:sz="0" w:space="0" w:color="auto"/>
                        <w:left w:val="none" w:sz="0" w:space="0" w:color="auto"/>
                        <w:bottom w:val="none" w:sz="0" w:space="0" w:color="auto"/>
                        <w:right w:val="none" w:sz="0" w:space="0" w:color="auto"/>
                      </w:divBdr>
                      <w:divsChild>
                        <w:div w:id="1919171967">
                          <w:marLeft w:val="0"/>
                          <w:marRight w:val="0"/>
                          <w:marTop w:val="0"/>
                          <w:marBottom w:val="0"/>
                          <w:divBdr>
                            <w:top w:val="none" w:sz="0" w:space="0" w:color="auto"/>
                            <w:left w:val="none" w:sz="0" w:space="0" w:color="auto"/>
                            <w:bottom w:val="none" w:sz="0" w:space="0" w:color="auto"/>
                            <w:right w:val="none" w:sz="0" w:space="0" w:color="auto"/>
                          </w:divBdr>
                          <w:divsChild>
                            <w:div w:id="2047833606">
                              <w:marLeft w:val="0"/>
                              <w:marRight w:val="0"/>
                              <w:marTop w:val="0"/>
                              <w:marBottom w:val="0"/>
                              <w:divBdr>
                                <w:top w:val="none" w:sz="0" w:space="0" w:color="auto"/>
                                <w:left w:val="none" w:sz="0" w:space="0" w:color="auto"/>
                                <w:bottom w:val="none" w:sz="0" w:space="0" w:color="auto"/>
                                <w:right w:val="none" w:sz="0" w:space="0" w:color="auto"/>
                              </w:divBdr>
                              <w:divsChild>
                                <w:div w:id="1655987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169259">
          <w:marLeft w:val="0"/>
          <w:marRight w:val="0"/>
          <w:marTop w:val="0"/>
          <w:marBottom w:val="0"/>
          <w:divBdr>
            <w:top w:val="none" w:sz="0" w:space="0" w:color="auto"/>
            <w:left w:val="none" w:sz="0" w:space="0" w:color="auto"/>
            <w:bottom w:val="none" w:sz="0" w:space="0" w:color="auto"/>
            <w:right w:val="none" w:sz="0" w:space="0" w:color="auto"/>
          </w:divBdr>
          <w:divsChild>
            <w:div w:id="1096293655">
              <w:marLeft w:val="0"/>
              <w:marRight w:val="0"/>
              <w:marTop w:val="0"/>
              <w:marBottom w:val="0"/>
              <w:divBdr>
                <w:top w:val="none" w:sz="0" w:space="0" w:color="auto"/>
                <w:left w:val="none" w:sz="0" w:space="0" w:color="auto"/>
                <w:bottom w:val="none" w:sz="0" w:space="0" w:color="auto"/>
                <w:right w:val="none" w:sz="0" w:space="0" w:color="auto"/>
              </w:divBdr>
              <w:divsChild>
                <w:div w:id="564531967">
                  <w:marLeft w:val="0"/>
                  <w:marRight w:val="0"/>
                  <w:marTop w:val="0"/>
                  <w:marBottom w:val="0"/>
                  <w:divBdr>
                    <w:top w:val="none" w:sz="0" w:space="0" w:color="auto"/>
                    <w:left w:val="none" w:sz="0" w:space="0" w:color="auto"/>
                    <w:bottom w:val="none" w:sz="0" w:space="0" w:color="auto"/>
                    <w:right w:val="none" w:sz="0" w:space="0" w:color="auto"/>
                  </w:divBdr>
                  <w:divsChild>
                    <w:div w:id="912930761">
                      <w:marLeft w:val="0"/>
                      <w:marRight w:val="0"/>
                      <w:marTop w:val="0"/>
                      <w:marBottom w:val="0"/>
                      <w:divBdr>
                        <w:top w:val="none" w:sz="0" w:space="0" w:color="auto"/>
                        <w:left w:val="none" w:sz="0" w:space="0" w:color="auto"/>
                        <w:bottom w:val="none" w:sz="0" w:space="0" w:color="auto"/>
                        <w:right w:val="none" w:sz="0" w:space="0" w:color="auto"/>
                      </w:divBdr>
                      <w:divsChild>
                        <w:div w:id="469372780">
                          <w:marLeft w:val="0"/>
                          <w:marRight w:val="0"/>
                          <w:marTop w:val="0"/>
                          <w:marBottom w:val="0"/>
                          <w:divBdr>
                            <w:top w:val="none" w:sz="0" w:space="0" w:color="auto"/>
                            <w:left w:val="none" w:sz="0" w:space="0" w:color="auto"/>
                            <w:bottom w:val="none" w:sz="0" w:space="0" w:color="auto"/>
                            <w:right w:val="none" w:sz="0" w:space="0" w:color="auto"/>
                          </w:divBdr>
                          <w:divsChild>
                            <w:div w:id="823358149">
                              <w:marLeft w:val="0"/>
                              <w:marRight w:val="0"/>
                              <w:marTop w:val="0"/>
                              <w:marBottom w:val="0"/>
                              <w:divBdr>
                                <w:top w:val="none" w:sz="0" w:space="0" w:color="auto"/>
                                <w:left w:val="none" w:sz="0" w:space="0" w:color="auto"/>
                                <w:bottom w:val="none" w:sz="0" w:space="0" w:color="auto"/>
                                <w:right w:val="none" w:sz="0" w:space="0" w:color="auto"/>
                              </w:divBdr>
                              <w:divsChild>
                                <w:div w:id="1669405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5701136">
                  <w:marLeft w:val="0"/>
                  <w:marRight w:val="0"/>
                  <w:marTop w:val="0"/>
                  <w:marBottom w:val="0"/>
                  <w:divBdr>
                    <w:top w:val="none" w:sz="0" w:space="0" w:color="auto"/>
                    <w:left w:val="none" w:sz="0" w:space="0" w:color="auto"/>
                    <w:bottom w:val="none" w:sz="0" w:space="0" w:color="auto"/>
                    <w:right w:val="none" w:sz="0" w:space="0" w:color="auto"/>
                  </w:divBdr>
                  <w:divsChild>
                    <w:div w:id="1743289434">
                      <w:marLeft w:val="0"/>
                      <w:marRight w:val="0"/>
                      <w:marTop w:val="0"/>
                      <w:marBottom w:val="0"/>
                      <w:divBdr>
                        <w:top w:val="none" w:sz="0" w:space="0" w:color="auto"/>
                        <w:left w:val="none" w:sz="0" w:space="0" w:color="auto"/>
                        <w:bottom w:val="none" w:sz="0" w:space="0" w:color="auto"/>
                        <w:right w:val="none" w:sz="0" w:space="0" w:color="auto"/>
                      </w:divBdr>
                      <w:divsChild>
                        <w:div w:id="1801606483">
                          <w:marLeft w:val="0"/>
                          <w:marRight w:val="0"/>
                          <w:marTop w:val="0"/>
                          <w:marBottom w:val="0"/>
                          <w:divBdr>
                            <w:top w:val="none" w:sz="0" w:space="0" w:color="auto"/>
                            <w:left w:val="none" w:sz="0" w:space="0" w:color="auto"/>
                            <w:bottom w:val="none" w:sz="0" w:space="0" w:color="auto"/>
                            <w:right w:val="none" w:sz="0" w:space="0" w:color="auto"/>
                          </w:divBdr>
                          <w:divsChild>
                            <w:div w:id="965281301">
                              <w:marLeft w:val="0"/>
                              <w:marRight w:val="0"/>
                              <w:marTop w:val="0"/>
                              <w:marBottom w:val="0"/>
                              <w:divBdr>
                                <w:top w:val="none" w:sz="0" w:space="0" w:color="auto"/>
                                <w:left w:val="none" w:sz="0" w:space="0" w:color="auto"/>
                                <w:bottom w:val="none" w:sz="0" w:space="0" w:color="auto"/>
                                <w:right w:val="none" w:sz="0" w:space="0" w:color="auto"/>
                              </w:divBdr>
                              <w:divsChild>
                                <w:div w:id="1258947222">
                                  <w:marLeft w:val="0"/>
                                  <w:marRight w:val="0"/>
                                  <w:marTop w:val="0"/>
                                  <w:marBottom w:val="0"/>
                                  <w:divBdr>
                                    <w:top w:val="none" w:sz="0" w:space="0" w:color="auto"/>
                                    <w:left w:val="none" w:sz="0" w:space="0" w:color="auto"/>
                                    <w:bottom w:val="none" w:sz="0" w:space="0" w:color="auto"/>
                                    <w:right w:val="none" w:sz="0" w:space="0" w:color="auto"/>
                                  </w:divBdr>
                                  <w:divsChild>
                                    <w:div w:id="149830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2136379">
          <w:marLeft w:val="0"/>
          <w:marRight w:val="0"/>
          <w:marTop w:val="0"/>
          <w:marBottom w:val="0"/>
          <w:divBdr>
            <w:top w:val="none" w:sz="0" w:space="0" w:color="auto"/>
            <w:left w:val="none" w:sz="0" w:space="0" w:color="auto"/>
            <w:bottom w:val="none" w:sz="0" w:space="0" w:color="auto"/>
            <w:right w:val="none" w:sz="0" w:space="0" w:color="auto"/>
          </w:divBdr>
          <w:divsChild>
            <w:div w:id="2136294602">
              <w:marLeft w:val="0"/>
              <w:marRight w:val="0"/>
              <w:marTop w:val="0"/>
              <w:marBottom w:val="0"/>
              <w:divBdr>
                <w:top w:val="none" w:sz="0" w:space="0" w:color="auto"/>
                <w:left w:val="none" w:sz="0" w:space="0" w:color="auto"/>
                <w:bottom w:val="none" w:sz="0" w:space="0" w:color="auto"/>
                <w:right w:val="none" w:sz="0" w:space="0" w:color="auto"/>
              </w:divBdr>
              <w:divsChild>
                <w:div w:id="1025668828">
                  <w:marLeft w:val="0"/>
                  <w:marRight w:val="0"/>
                  <w:marTop w:val="0"/>
                  <w:marBottom w:val="0"/>
                  <w:divBdr>
                    <w:top w:val="none" w:sz="0" w:space="0" w:color="auto"/>
                    <w:left w:val="none" w:sz="0" w:space="0" w:color="auto"/>
                    <w:bottom w:val="none" w:sz="0" w:space="0" w:color="auto"/>
                    <w:right w:val="none" w:sz="0" w:space="0" w:color="auto"/>
                  </w:divBdr>
                  <w:divsChild>
                    <w:div w:id="2005356157">
                      <w:marLeft w:val="0"/>
                      <w:marRight w:val="0"/>
                      <w:marTop w:val="0"/>
                      <w:marBottom w:val="0"/>
                      <w:divBdr>
                        <w:top w:val="none" w:sz="0" w:space="0" w:color="auto"/>
                        <w:left w:val="none" w:sz="0" w:space="0" w:color="auto"/>
                        <w:bottom w:val="none" w:sz="0" w:space="0" w:color="auto"/>
                        <w:right w:val="none" w:sz="0" w:space="0" w:color="auto"/>
                      </w:divBdr>
                      <w:divsChild>
                        <w:div w:id="1011417488">
                          <w:marLeft w:val="0"/>
                          <w:marRight w:val="0"/>
                          <w:marTop w:val="0"/>
                          <w:marBottom w:val="0"/>
                          <w:divBdr>
                            <w:top w:val="none" w:sz="0" w:space="0" w:color="auto"/>
                            <w:left w:val="none" w:sz="0" w:space="0" w:color="auto"/>
                            <w:bottom w:val="none" w:sz="0" w:space="0" w:color="auto"/>
                            <w:right w:val="none" w:sz="0" w:space="0" w:color="auto"/>
                          </w:divBdr>
                          <w:divsChild>
                            <w:div w:id="1590501153">
                              <w:marLeft w:val="0"/>
                              <w:marRight w:val="0"/>
                              <w:marTop w:val="0"/>
                              <w:marBottom w:val="0"/>
                              <w:divBdr>
                                <w:top w:val="none" w:sz="0" w:space="0" w:color="auto"/>
                                <w:left w:val="none" w:sz="0" w:space="0" w:color="auto"/>
                                <w:bottom w:val="none" w:sz="0" w:space="0" w:color="auto"/>
                                <w:right w:val="none" w:sz="0" w:space="0" w:color="auto"/>
                              </w:divBdr>
                              <w:divsChild>
                                <w:div w:id="936449375">
                                  <w:marLeft w:val="0"/>
                                  <w:marRight w:val="0"/>
                                  <w:marTop w:val="0"/>
                                  <w:marBottom w:val="0"/>
                                  <w:divBdr>
                                    <w:top w:val="none" w:sz="0" w:space="0" w:color="auto"/>
                                    <w:left w:val="none" w:sz="0" w:space="0" w:color="auto"/>
                                    <w:bottom w:val="none" w:sz="0" w:space="0" w:color="auto"/>
                                    <w:right w:val="none" w:sz="0" w:space="0" w:color="auto"/>
                                  </w:divBdr>
                                  <w:divsChild>
                                    <w:div w:id="324477719">
                                      <w:marLeft w:val="0"/>
                                      <w:marRight w:val="0"/>
                                      <w:marTop w:val="0"/>
                                      <w:marBottom w:val="0"/>
                                      <w:divBdr>
                                        <w:top w:val="none" w:sz="0" w:space="0" w:color="auto"/>
                                        <w:left w:val="none" w:sz="0" w:space="0" w:color="auto"/>
                                        <w:bottom w:val="none" w:sz="0" w:space="0" w:color="auto"/>
                                        <w:right w:val="none" w:sz="0" w:space="0" w:color="auto"/>
                                      </w:divBdr>
                                      <w:divsChild>
                                        <w:div w:id="293946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47927970">
          <w:marLeft w:val="0"/>
          <w:marRight w:val="0"/>
          <w:marTop w:val="0"/>
          <w:marBottom w:val="0"/>
          <w:divBdr>
            <w:top w:val="none" w:sz="0" w:space="0" w:color="auto"/>
            <w:left w:val="none" w:sz="0" w:space="0" w:color="auto"/>
            <w:bottom w:val="none" w:sz="0" w:space="0" w:color="auto"/>
            <w:right w:val="none" w:sz="0" w:space="0" w:color="auto"/>
          </w:divBdr>
          <w:divsChild>
            <w:div w:id="1957247854">
              <w:marLeft w:val="0"/>
              <w:marRight w:val="0"/>
              <w:marTop w:val="0"/>
              <w:marBottom w:val="0"/>
              <w:divBdr>
                <w:top w:val="none" w:sz="0" w:space="0" w:color="auto"/>
                <w:left w:val="none" w:sz="0" w:space="0" w:color="auto"/>
                <w:bottom w:val="none" w:sz="0" w:space="0" w:color="auto"/>
                <w:right w:val="none" w:sz="0" w:space="0" w:color="auto"/>
              </w:divBdr>
              <w:divsChild>
                <w:div w:id="411706934">
                  <w:marLeft w:val="0"/>
                  <w:marRight w:val="0"/>
                  <w:marTop w:val="0"/>
                  <w:marBottom w:val="0"/>
                  <w:divBdr>
                    <w:top w:val="none" w:sz="0" w:space="0" w:color="auto"/>
                    <w:left w:val="none" w:sz="0" w:space="0" w:color="auto"/>
                    <w:bottom w:val="none" w:sz="0" w:space="0" w:color="auto"/>
                    <w:right w:val="none" w:sz="0" w:space="0" w:color="auto"/>
                  </w:divBdr>
                  <w:divsChild>
                    <w:div w:id="66347312">
                      <w:marLeft w:val="0"/>
                      <w:marRight w:val="0"/>
                      <w:marTop w:val="0"/>
                      <w:marBottom w:val="0"/>
                      <w:divBdr>
                        <w:top w:val="none" w:sz="0" w:space="0" w:color="auto"/>
                        <w:left w:val="none" w:sz="0" w:space="0" w:color="auto"/>
                        <w:bottom w:val="none" w:sz="0" w:space="0" w:color="auto"/>
                        <w:right w:val="none" w:sz="0" w:space="0" w:color="auto"/>
                      </w:divBdr>
                      <w:divsChild>
                        <w:div w:id="1324897676">
                          <w:marLeft w:val="0"/>
                          <w:marRight w:val="0"/>
                          <w:marTop w:val="0"/>
                          <w:marBottom w:val="0"/>
                          <w:divBdr>
                            <w:top w:val="none" w:sz="0" w:space="0" w:color="auto"/>
                            <w:left w:val="none" w:sz="0" w:space="0" w:color="auto"/>
                            <w:bottom w:val="none" w:sz="0" w:space="0" w:color="auto"/>
                            <w:right w:val="none" w:sz="0" w:space="0" w:color="auto"/>
                          </w:divBdr>
                          <w:divsChild>
                            <w:div w:id="1310599900">
                              <w:marLeft w:val="0"/>
                              <w:marRight w:val="0"/>
                              <w:marTop w:val="0"/>
                              <w:marBottom w:val="0"/>
                              <w:divBdr>
                                <w:top w:val="none" w:sz="0" w:space="0" w:color="auto"/>
                                <w:left w:val="none" w:sz="0" w:space="0" w:color="auto"/>
                                <w:bottom w:val="none" w:sz="0" w:space="0" w:color="auto"/>
                                <w:right w:val="none" w:sz="0" w:space="0" w:color="auto"/>
                              </w:divBdr>
                              <w:divsChild>
                                <w:div w:id="1585458158">
                                  <w:marLeft w:val="0"/>
                                  <w:marRight w:val="0"/>
                                  <w:marTop w:val="0"/>
                                  <w:marBottom w:val="0"/>
                                  <w:divBdr>
                                    <w:top w:val="none" w:sz="0" w:space="0" w:color="auto"/>
                                    <w:left w:val="none" w:sz="0" w:space="0" w:color="auto"/>
                                    <w:bottom w:val="none" w:sz="0" w:space="0" w:color="auto"/>
                                    <w:right w:val="none" w:sz="0" w:space="0" w:color="auto"/>
                                  </w:divBdr>
                                  <w:divsChild>
                                    <w:div w:id="2099785924">
                                      <w:marLeft w:val="0"/>
                                      <w:marRight w:val="0"/>
                                      <w:marTop w:val="0"/>
                                      <w:marBottom w:val="0"/>
                                      <w:divBdr>
                                        <w:top w:val="none" w:sz="0" w:space="0" w:color="auto"/>
                                        <w:left w:val="none" w:sz="0" w:space="0" w:color="auto"/>
                                        <w:bottom w:val="none" w:sz="0" w:space="0" w:color="auto"/>
                                        <w:right w:val="none" w:sz="0" w:space="0" w:color="auto"/>
                                      </w:divBdr>
                                      <w:divsChild>
                                        <w:div w:id="731582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07444301">
          <w:marLeft w:val="0"/>
          <w:marRight w:val="0"/>
          <w:marTop w:val="0"/>
          <w:marBottom w:val="0"/>
          <w:divBdr>
            <w:top w:val="none" w:sz="0" w:space="0" w:color="auto"/>
            <w:left w:val="none" w:sz="0" w:space="0" w:color="auto"/>
            <w:bottom w:val="none" w:sz="0" w:space="0" w:color="auto"/>
            <w:right w:val="none" w:sz="0" w:space="0" w:color="auto"/>
          </w:divBdr>
          <w:divsChild>
            <w:div w:id="1861818243">
              <w:marLeft w:val="0"/>
              <w:marRight w:val="0"/>
              <w:marTop w:val="0"/>
              <w:marBottom w:val="0"/>
              <w:divBdr>
                <w:top w:val="none" w:sz="0" w:space="0" w:color="auto"/>
                <w:left w:val="none" w:sz="0" w:space="0" w:color="auto"/>
                <w:bottom w:val="none" w:sz="0" w:space="0" w:color="auto"/>
                <w:right w:val="none" w:sz="0" w:space="0" w:color="auto"/>
              </w:divBdr>
              <w:divsChild>
                <w:div w:id="704478865">
                  <w:marLeft w:val="0"/>
                  <w:marRight w:val="0"/>
                  <w:marTop w:val="0"/>
                  <w:marBottom w:val="0"/>
                  <w:divBdr>
                    <w:top w:val="none" w:sz="0" w:space="0" w:color="auto"/>
                    <w:left w:val="none" w:sz="0" w:space="0" w:color="auto"/>
                    <w:bottom w:val="none" w:sz="0" w:space="0" w:color="auto"/>
                    <w:right w:val="none" w:sz="0" w:space="0" w:color="auto"/>
                  </w:divBdr>
                  <w:divsChild>
                    <w:div w:id="1551722571">
                      <w:marLeft w:val="0"/>
                      <w:marRight w:val="0"/>
                      <w:marTop w:val="0"/>
                      <w:marBottom w:val="0"/>
                      <w:divBdr>
                        <w:top w:val="none" w:sz="0" w:space="0" w:color="auto"/>
                        <w:left w:val="none" w:sz="0" w:space="0" w:color="auto"/>
                        <w:bottom w:val="none" w:sz="0" w:space="0" w:color="auto"/>
                        <w:right w:val="none" w:sz="0" w:space="0" w:color="auto"/>
                      </w:divBdr>
                      <w:divsChild>
                        <w:div w:id="2025545967">
                          <w:marLeft w:val="0"/>
                          <w:marRight w:val="0"/>
                          <w:marTop w:val="0"/>
                          <w:marBottom w:val="0"/>
                          <w:divBdr>
                            <w:top w:val="none" w:sz="0" w:space="0" w:color="auto"/>
                            <w:left w:val="none" w:sz="0" w:space="0" w:color="auto"/>
                            <w:bottom w:val="none" w:sz="0" w:space="0" w:color="auto"/>
                            <w:right w:val="none" w:sz="0" w:space="0" w:color="auto"/>
                          </w:divBdr>
                          <w:divsChild>
                            <w:div w:id="868492821">
                              <w:marLeft w:val="0"/>
                              <w:marRight w:val="0"/>
                              <w:marTop w:val="0"/>
                              <w:marBottom w:val="0"/>
                              <w:divBdr>
                                <w:top w:val="none" w:sz="0" w:space="0" w:color="auto"/>
                                <w:left w:val="none" w:sz="0" w:space="0" w:color="auto"/>
                                <w:bottom w:val="none" w:sz="0" w:space="0" w:color="auto"/>
                                <w:right w:val="none" w:sz="0" w:space="0" w:color="auto"/>
                              </w:divBdr>
                              <w:divsChild>
                                <w:div w:id="1798183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9299161">
                  <w:marLeft w:val="0"/>
                  <w:marRight w:val="0"/>
                  <w:marTop w:val="0"/>
                  <w:marBottom w:val="0"/>
                  <w:divBdr>
                    <w:top w:val="none" w:sz="0" w:space="0" w:color="auto"/>
                    <w:left w:val="none" w:sz="0" w:space="0" w:color="auto"/>
                    <w:bottom w:val="none" w:sz="0" w:space="0" w:color="auto"/>
                    <w:right w:val="none" w:sz="0" w:space="0" w:color="auto"/>
                  </w:divBdr>
                  <w:divsChild>
                    <w:div w:id="1371490598">
                      <w:marLeft w:val="0"/>
                      <w:marRight w:val="0"/>
                      <w:marTop w:val="0"/>
                      <w:marBottom w:val="0"/>
                      <w:divBdr>
                        <w:top w:val="none" w:sz="0" w:space="0" w:color="auto"/>
                        <w:left w:val="none" w:sz="0" w:space="0" w:color="auto"/>
                        <w:bottom w:val="none" w:sz="0" w:space="0" w:color="auto"/>
                        <w:right w:val="none" w:sz="0" w:space="0" w:color="auto"/>
                      </w:divBdr>
                      <w:divsChild>
                        <w:div w:id="1761441305">
                          <w:marLeft w:val="0"/>
                          <w:marRight w:val="0"/>
                          <w:marTop w:val="0"/>
                          <w:marBottom w:val="0"/>
                          <w:divBdr>
                            <w:top w:val="none" w:sz="0" w:space="0" w:color="auto"/>
                            <w:left w:val="none" w:sz="0" w:space="0" w:color="auto"/>
                            <w:bottom w:val="none" w:sz="0" w:space="0" w:color="auto"/>
                            <w:right w:val="none" w:sz="0" w:space="0" w:color="auto"/>
                          </w:divBdr>
                          <w:divsChild>
                            <w:div w:id="188375116">
                              <w:marLeft w:val="0"/>
                              <w:marRight w:val="0"/>
                              <w:marTop w:val="0"/>
                              <w:marBottom w:val="0"/>
                              <w:divBdr>
                                <w:top w:val="none" w:sz="0" w:space="0" w:color="auto"/>
                                <w:left w:val="none" w:sz="0" w:space="0" w:color="auto"/>
                                <w:bottom w:val="none" w:sz="0" w:space="0" w:color="auto"/>
                                <w:right w:val="none" w:sz="0" w:space="0" w:color="auto"/>
                              </w:divBdr>
                              <w:divsChild>
                                <w:div w:id="412549344">
                                  <w:marLeft w:val="0"/>
                                  <w:marRight w:val="0"/>
                                  <w:marTop w:val="0"/>
                                  <w:marBottom w:val="0"/>
                                  <w:divBdr>
                                    <w:top w:val="none" w:sz="0" w:space="0" w:color="auto"/>
                                    <w:left w:val="none" w:sz="0" w:space="0" w:color="auto"/>
                                    <w:bottom w:val="none" w:sz="0" w:space="0" w:color="auto"/>
                                    <w:right w:val="none" w:sz="0" w:space="0" w:color="auto"/>
                                  </w:divBdr>
                                  <w:divsChild>
                                    <w:div w:id="620500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14613155">
          <w:marLeft w:val="0"/>
          <w:marRight w:val="0"/>
          <w:marTop w:val="0"/>
          <w:marBottom w:val="0"/>
          <w:divBdr>
            <w:top w:val="none" w:sz="0" w:space="0" w:color="auto"/>
            <w:left w:val="none" w:sz="0" w:space="0" w:color="auto"/>
            <w:bottom w:val="none" w:sz="0" w:space="0" w:color="auto"/>
            <w:right w:val="none" w:sz="0" w:space="0" w:color="auto"/>
          </w:divBdr>
          <w:divsChild>
            <w:div w:id="1771702156">
              <w:marLeft w:val="0"/>
              <w:marRight w:val="0"/>
              <w:marTop w:val="0"/>
              <w:marBottom w:val="0"/>
              <w:divBdr>
                <w:top w:val="none" w:sz="0" w:space="0" w:color="auto"/>
                <w:left w:val="none" w:sz="0" w:space="0" w:color="auto"/>
                <w:bottom w:val="none" w:sz="0" w:space="0" w:color="auto"/>
                <w:right w:val="none" w:sz="0" w:space="0" w:color="auto"/>
              </w:divBdr>
              <w:divsChild>
                <w:div w:id="468131454">
                  <w:marLeft w:val="0"/>
                  <w:marRight w:val="0"/>
                  <w:marTop w:val="0"/>
                  <w:marBottom w:val="0"/>
                  <w:divBdr>
                    <w:top w:val="none" w:sz="0" w:space="0" w:color="auto"/>
                    <w:left w:val="none" w:sz="0" w:space="0" w:color="auto"/>
                    <w:bottom w:val="none" w:sz="0" w:space="0" w:color="auto"/>
                    <w:right w:val="none" w:sz="0" w:space="0" w:color="auto"/>
                  </w:divBdr>
                  <w:divsChild>
                    <w:div w:id="1819760276">
                      <w:marLeft w:val="0"/>
                      <w:marRight w:val="0"/>
                      <w:marTop w:val="0"/>
                      <w:marBottom w:val="0"/>
                      <w:divBdr>
                        <w:top w:val="none" w:sz="0" w:space="0" w:color="auto"/>
                        <w:left w:val="none" w:sz="0" w:space="0" w:color="auto"/>
                        <w:bottom w:val="none" w:sz="0" w:space="0" w:color="auto"/>
                        <w:right w:val="none" w:sz="0" w:space="0" w:color="auto"/>
                      </w:divBdr>
                      <w:divsChild>
                        <w:div w:id="1370454564">
                          <w:marLeft w:val="0"/>
                          <w:marRight w:val="0"/>
                          <w:marTop w:val="0"/>
                          <w:marBottom w:val="0"/>
                          <w:divBdr>
                            <w:top w:val="none" w:sz="0" w:space="0" w:color="auto"/>
                            <w:left w:val="none" w:sz="0" w:space="0" w:color="auto"/>
                            <w:bottom w:val="none" w:sz="0" w:space="0" w:color="auto"/>
                            <w:right w:val="none" w:sz="0" w:space="0" w:color="auto"/>
                          </w:divBdr>
                          <w:divsChild>
                            <w:div w:id="1656687479">
                              <w:marLeft w:val="0"/>
                              <w:marRight w:val="0"/>
                              <w:marTop w:val="0"/>
                              <w:marBottom w:val="0"/>
                              <w:divBdr>
                                <w:top w:val="none" w:sz="0" w:space="0" w:color="auto"/>
                                <w:left w:val="none" w:sz="0" w:space="0" w:color="auto"/>
                                <w:bottom w:val="none" w:sz="0" w:space="0" w:color="auto"/>
                                <w:right w:val="none" w:sz="0" w:space="0" w:color="auto"/>
                              </w:divBdr>
                              <w:divsChild>
                                <w:div w:id="1809660090">
                                  <w:marLeft w:val="0"/>
                                  <w:marRight w:val="0"/>
                                  <w:marTop w:val="0"/>
                                  <w:marBottom w:val="0"/>
                                  <w:divBdr>
                                    <w:top w:val="none" w:sz="0" w:space="0" w:color="auto"/>
                                    <w:left w:val="none" w:sz="0" w:space="0" w:color="auto"/>
                                    <w:bottom w:val="none" w:sz="0" w:space="0" w:color="auto"/>
                                    <w:right w:val="none" w:sz="0" w:space="0" w:color="auto"/>
                                  </w:divBdr>
                                  <w:divsChild>
                                    <w:div w:id="183370815">
                                      <w:marLeft w:val="0"/>
                                      <w:marRight w:val="0"/>
                                      <w:marTop w:val="0"/>
                                      <w:marBottom w:val="0"/>
                                      <w:divBdr>
                                        <w:top w:val="none" w:sz="0" w:space="0" w:color="auto"/>
                                        <w:left w:val="none" w:sz="0" w:space="0" w:color="auto"/>
                                        <w:bottom w:val="none" w:sz="0" w:space="0" w:color="auto"/>
                                        <w:right w:val="none" w:sz="0" w:space="0" w:color="auto"/>
                                      </w:divBdr>
                                      <w:divsChild>
                                        <w:div w:id="986015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0738628">
          <w:marLeft w:val="0"/>
          <w:marRight w:val="0"/>
          <w:marTop w:val="0"/>
          <w:marBottom w:val="0"/>
          <w:divBdr>
            <w:top w:val="none" w:sz="0" w:space="0" w:color="auto"/>
            <w:left w:val="none" w:sz="0" w:space="0" w:color="auto"/>
            <w:bottom w:val="none" w:sz="0" w:space="0" w:color="auto"/>
            <w:right w:val="none" w:sz="0" w:space="0" w:color="auto"/>
          </w:divBdr>
          <w:divsChild>
            <w:div w:id="903612985">
              <w:marLeft w:val="0"/>
              <w:marRight w:val="0"/>
              <w:marTop w:val="0"/>
              <w:marBottom w:val="0"/>
              <w:divBdr>
                <w:top w:val="none" w:sz="0" w:space="0" w:color="auto"/>
                <w:left w:val="none" w:sz="0" w:space="0" w:color="auto"/>
                <w:bottom w:val="none" w:sz="0" w:space="0" w:color="auto"/>
                <w:right w:val="none" w:sz="0" w:space="0" w:color="auto"/>
              </w:divBdr>
              <w:divsChild>
                <w:div w:id="1042249978">
                  <w:marLeft w:val="0"/>
                  <w:marRight w:val="0"/>
                  <w:marTop w:val="0"/>
                  <w:marBottom w:val="0"/>
                  <w:divBdr>
                    <w:top w:val="none" w:sz="0" w:space="0" w:color="auto"/>
                    <w:left w:val="none" w:sz="0" w:space="0" w:color="auto"/>
                    <w:bottom w:val="none" w:sz="0" w:space="0" w:color="auto"/>
                    <w:right w:val="none" w:sz="0" w:space="0" w:color="auto"/>
                  </w:divBdr>
                  <w:divsChild>
                    <w:div w:id="1051808775">
                      <w:marLeft w:val="0"/>
                      <w:marRight w:val="0"/>
                      <w:marTop w:val="0"/>
                      <w:marBottom w:val="0"/>
                      <w:divBdr>
                        <w:top w:val="none" w:sz="0" w:space="0" w:color="auto"/>
                        <w:left w:val="none" w:sz="0" w:space="0" w:color="auto"/>
                        <w:bottom w:val="none" w:sz="0" w:space="0" w:color="auto"/>
                        <w:right w:val="none" w:sz="0" w:space="0" w:color="auto"/>
                      </w:divBdr>
                      <w:divsChild>
                        <w:div w:id="1269774745">
                          <w:marLeft w:val="0"/>
                          <w:marRight w:val="0"/>
                          <w:marTop w:val="0"/>
                          <w:marBottom w:val="0"/>
                          <w:divBdr>
                            <w:top w:val="none" w:sz="0" w:space="0" w:color="auto"/>
                            <w:left w:val="none" w:sz="0" w:space="0" w:color="auto"/>
                            <w:bottom w:val="none" w:sz="0" w:space="0" w:color="auto"/>
                            <w:right w:val="none" w:sz="0" w:space="0" w:color="auto"/>
                          </w:divBdr>
                          <w:divsChild>
                            <w:div w:id="1131556322">
                              <w:marLeft w:val="0"/>
                              <w:marRight w:val="0"/>
                              <w:marTop w:val="0"/>
                              <w:marBottom w:val="0"/>
                              <w:divBdr>
                                <w:top w:val="none" w:sz="0" w:space="0" w:color="auto"/>
                                <w:left w:val="none" w:sz="0" w:space="0" w:color="auto"/>
                                <w:bottom w:val="none" w:sz="0" w:space="0" w:color="auto"/>
                                <w:right w:val="none" w:sz="0" w:space="0" w:color="auto"/>
                              </w:divBdr>
                              <w:divsChild>
                                <w:div w:id="1453865529">
                                  <w:marLeft w:val="0"/>
                                  <w:marRight w:val="0"/>
                                  <w:marTop w:val="0"/>
                                  <w:marBottom w:val="0"/>
                                  <w:divBdr>
                                    <w:top w:val="none" w:sz="0" w:space="0" w:color="auto"/>
                                    <w:left w:val="none" w:sz="0" w:space="0" w:color="auto"/>
                                    <w:bottom w:val="none" w:sz="0" w:space="0" w:color="auto"/>
                                    <w:right w:val="none" w:sz="0" w:space="0" w:color="auto"/>
                                  </w:divBdr>
                                  <w:divsChild>
                                    <w:div w:id="708721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7780707">
                  <w:marLeft w:val="0"/>
                  <w:marRight w:val="0"/>
                  <w:marTop w:val="0"/>
                  <w:marBottom w:val="0"/>
                  <w:divBdr>
                    <w:top w:val="none" w:sz="0" w:space="0" w:color="auto"/>
                    <w:left w:val="none" w:sz="0" w:space="0" w:color="auto"/>
                    <w:bottom w:val="none" w:sz="0" w:space="0" w:color="auto"/>
                    <w:right w:val="none" w:sz="0" w:space="0" w:color="auto"/>
                  </w:divBdr>
                  <w:divsChild>
                    <w:div w:id="1178079529">
                      <w:marLeft w:val="0"/>
                      <w:marRight w:val="0"/>
                      <w:marTop w:val="0"/>
                      <w:marBottom w:val="0"/>
                      <w:divBdr>
                        <w:top w:val="none" w:sz="0" w:space="0" w:color="auto"/>
                        <w:left w:val="none" w:sz="0" w:space="0" w:color="auto"/>
                        <w:bottom w:val="none" w:sz="0" w:space="0" w:color="auto"/>
                        <w:right w:val="none" w:sz="0" w:space="0" w:color="auto"/>
                      </w:divBdr>
                      <w:divsChild>
                        <w:div w:id="459811645">
                          <w:marLeft w:val="0"/>
                          <w:marRight w:val="0"/>
                          <w:marTop w:val="0"/>
                          <w:marBottom w:val="0"/>
                          <w:divBdr>
                            <w:top w:val="none" w:sz="0" w:space="0" w:color="auto"/>
                            <w:left w:val="none" w:sz="0" w:space="0" w:color="auto"/>
                            <w:bottom w:val="none" w:sz="0" w:space="0" w:color="auto"/>
                            <w:right w:val="none" w:sz="0" w:space="0" w:color="auto"/>
                          </w:divBdr>
                          <w:divsChild>
                            <w:div w:id="1109086821">
                              <w:marLeft w:val="0"/>
                              <w:marRight w:val="0"/>
                              <w:marTop w:val="0"/>
                              <w:marBottom w:val="0"/>
                              <w:divBdr>
                                <w:top w:val="none" w:sz="0" w:space="0" w:color="auto"/>
                                <w:left w:val="none" w:sz="0" w:space="0" w:color="auto"/>
                                <w:bottom w:val="none" w:sz="0" w:space="0" w:color="auto"/>
                                <w:right w:val="none" w:sz="0" w:space="0" w:color="auto"/>
                              </w:divBdr>
                              <w:divsChild>
                                <w:div w:id="572811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6854351">
          <w:marLeft w:val="0"/>
          <w:marRight w:val="0"/>
          <w:marTop w:val="0"/>
          <w:marBottom w:val="0"/>
          <w:divBdr>
            <w:top w:val="none" w:sz="0" w:space="0" w:color="auto"/>
            <w:left w:val="none" w:sz="0" w:space="0" w:color="auto"/>
            <w:bottom w:val="none" w:sz="0" w:space="0" w:color="auto"/>
            <w:right w:val="none" w:sz="0" w:space="0" w:color="auto"/>
          </w:divBdr>
          <w:divsChild>
            <w:div w:id="1254708241">
              <w:marLeft w:val="0"/>
              <w:marRight w:val="0"/>
              <w:marTop w:val="0"/>
              <w:marBottom w:val="0"/>
              <w:divBdr>
                <w:top w:val="none" w:sz="0" w:space="0" w:color="auto"/>
                <w:left w:val="none" w:sz="0" w:space="0" w:color="auto"/>
                <w:bottom w:val="none" w:sz="0" w:space="0" w:color="auto"/>
                <w:right w:val="none" w:sz="0" w:space="0" w:color="auto"/>
              </w:divBdr>
              <w:divsChild>
                <w:div w:id="1638609648">
                  <w:marLeft w:val="0"/>
                  <w:marRight w:val="0"/>
                  <w:marTop w:val="0"/>
                  <w:marBottom w:val="0"/>
                  <w:divBdr>
                    <w:top w:val="none" w:sz="0" w:space="0" w:color="auto"/>
                    <w:left w:val="none" w:sz="0" w:space="0" w:color="auto"/>
                    <w:bottom w:val="none" w:sz="0" w:space="0" w:color="auto"/>
                    <w:right w:val="none" w:sz="0" w:space="0" w:color="auto"/>
                  </w:divBdr>
                  <w:divsChild>
                    <w:div w:id="407070706">
                      <w:marLeft w:val="0"/>
                      <w:marRight w:val="0"/>
                      <w:marTop w:val="0"/>
                      <w:marBottom w:val="0"/>
                      <w:divBdr>
                        <w:top w:val="none" w:sz="0" w:space="0" w:color="auto"/>
                        <w:left w:val="none" w:sz="0" w:space="0" w:color="auto"/>
                        <w:bottom w:val="none" w:sz="0" w:space="0" w:color="auto"/>
                        <w:right w:val="none" w:sz="0" w:space="0" w:color="auto"/>
                      </w:divBdr>
                      <w:divsChild>
                        <w:div w:id="766121466">
                          <w:marLeft w:val="0"/>
                          <w:marRight w:val="0"/>
                          <w:marTop w:val="0"/>
                          <w:marBottom w:val="0"/>
                          <w:divBdr>
                            <w:top w:val="none" w:sz="0" w:space="0" w:color="auto"/>
                            <w:left w:val="none" w:sz="0" w:space="0" w:color="auto"/>
                            <w:bottom w:val="none" w:sz="0" w:space="0" w:color="auto"/>
                            <w:right w:val="none" w:sz="0" w:space="0" w:color="auto"/>
                          </w:divBdr>
                          <w:divsChild>
                            <w:div w:id="393356582">
                              <w:marLeft w:val="0"/>
                              <w:marRight w:val="0"/>
                              <w:marTop w:val="0"/>
                              <w:marBottom w:val="0"/>
                              <w:divBdr>
                                <w:top w:val="none" w:sz="0" w:space="0" w:color="auto"/>
                                <w:left w:val="none" w:sz="0" w:space="0" w:color="auto"/>
                                <w:bottom w:val="none" w:sz="0" w:space="0" w:color="auto"/>
                                <w:right w:val="none" w:sz="0" w:space="0" w:color="auto"/>
                              </w:divBdr>
                              <w:divsChild>
                                <w:div w:id="824977571">
                                  <w:marLeft w:val="0"/>
                                  <w:marRight w:val="0"/>
                                  <w:marTop w:val="0"/>
                                  <w:marBottom w:val="0"/>
                                  <w:divBdr>
                                    <w:top w:val="none" w:sz="0" w:space="0" w:color="auto"/>
                                    <w:left w:val="none" w:sz="0" w:space="0" w:color="auto"/>
                                    <w:bottom w:val="none" w:sz="0" w:space="0" w:color="auto"/>
                                    <w:right w:val="none" w:sz="0" w:space="0" w:color="auto"/>
                                  </w:divBdr>
                                  <w:divsChild>
                                    <w:div w:id="1627545574">
                                      <w:marLeft w:val="0"/>
                                      <w:marRight w:val="0"/>
                                      <w:marTop w:val="0"/>
                                      <w:marBottom w:val="0"/>
                                      <w:divBdr>
                                        <w:top w:val="none" w:sz="0" w:space="0" w:color="auto"/>
                                        <w:left w:val="none" w:sz="0" w:space="0" w:color="auto"/>
                                        <w:bottom w:val="none" w:sz="0" w:space="0" w:color="auto"/>
                                        <w:right w:val="none" w:sz="0" w:space="0" w:color="auto"/>
                                      </w:divBdr>
                                      <w:divsChild>
                                        <w:div w:id="1982229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7881878">
          <w:marLeft w:val="0"/>
          <w:marRight w:val="0"/>
          <w:marTop w:val="0"/>
          <w:marBottom w:val="0"/>
          <w:divBdr>
            <w:top w:val="none" w:sz="0" w:space="0" w:color="auto"/>
            <w:left w:val="none" w:sz="0" w:space="0" w:color="auto"/>
            <w:bottom w:val="none" w:sz="0" w:space="0" w:color="auto"/>
            <w:right w:val="none" w:sz="0" w:space="0" w:color="auto"/>
          </w:divBdr>
          <w:divsChild>
            <w:div w:id="2028024600">
              <w:marLeft w:val="0"/>
              <w:marRight w:val="0"/>
              <w:marTop w:val="0"/>
              <w:marBottom w:val="0"/>
              <w:divBdr>
                <w:top w:val="none" w:sz="0" w:space="0" w:color="auto"/>
                <w:left w:val="none" w:sz="0" w:space="0" w:color="auto"/>
                <w:bottom w:val="none" w:sz="0" w:space="0" w:color="auto"/>
                <w:right w:val="none" w:sz="0" w:space="0" w:color="auto"/>
              </w:divBdr>
              <w:divsChild>
                <w:div w:id="1261376323">
                  <w:marLeft w:val="0"/>
                  <w:marRight w:val="0"/>
                  <w:marTop w:val="0"/>
                  <w:marBottom w:val="0"/>
                  <w:divBdr>
                    <w:top w:val="none" w:sz="0" w:space="0" w:color="auto"/>
                    <w:left w:val="none" w:sz="0" w:space="0" w:color="auto"/>
                    <w:bottom w:val="none" w:sz="0" w:space="0" w:color="auto"/>
                    <w:right w:val="none" w:sz="0" w:space="0" w:color="auto"/>
                  </w:divBdr>
                  <w:divsChild>
                    <w:div w:id="1984580325">
                      <w:marLeft w:val="0"/>
                      <w:marRight w:val="0"/>
                      <w:marTop w:val="0"/>
                      <w:marBottom w:val="0"/>
                      <w:divBdr>
                        <w:top w:val="none" w:sz="0" w:space="0" w:color="auto"/>
                        <w:left w:val="none" w:sz="0" w:space="0" w:color="auto"/>
                        <w:bottom w:val="none" w:sz="0" w:space="0" w:color="auto"/>
                        <w:right w:val="none" w:sz="0" w:space="0" w:color="auto"/>
                      </w:divBdr>
                      <w:divsChild>
                        <w:div w:id="1502544832">
                          <w:marLeft w:val="0"/>
                          <w:marRight w:val="0"/>
                          <w:marTop w:val="0"/>
                          <w:marBottom w:val="0"/>
                          <w:divBdr>
                            <w:top w:val="none" w:sz="0" w:space="0" w:color="auto"/>
                            <w:left w:val="none" w:sz="0" w:space="0" w:color="auto"/>
                            <w:bottom w:val="none" w:sz="0" w:space="0" w:color="auto"/>
                            <w:right w:val="none" w:sz="0" w:space="0" w:color="auto"/>
                          </w:divBdr>
                          <w:divsChild>
                            <w:div w:id="1022972159">
                              <w:marLeft w:val="0"/>
                              <w:marRight w:val="0"/>
                              <w:marTop w:val="0"/>
                              <w:marBottom w:val="0"/>
                              <w:divBdr>
                                <w:top w:val="none" w:sz="0" w:space="0" w:color="auto"/>
                                <w:left w:val="none" w:sz="0" w:space="0" w:color="auto"/>
                                <w:bottom w:val="none" w:sz="0" w:space="0" w:color="auto"/>
                                <w:right w:val="none" w:sz="0" w:space="0" w:color="auto"/>
                              </w:divBdr>
                              <w:divsChild>
                                <w:div w:id="2034843634">
                                  <w:marLeft w:val="0"/>
                                  <w:marRight w:val="0"/>
                                  <w:marTop w:val="0"/>
                                  <w:marBottom w:val="0"/>
                                  <w:divBdr>
                                    <w:top w:val="none" w:sz="0" w:space="0" w:color="auto"/>
                                    <w:left w:val="none" w:sz="0" w:space="0" w:color="auto"/>
                                    <w:bottom w:val="none" w:sz="0" w:space="0" w:color="auto"/>
                                    <w:right w:val="none" w:sz="0" w:space="0" w:color="auto"/>
                                  </w:divBdr>
                                  <w:divsChild>
                                    <w:div w:id="910896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69649636">
                  <w:marLeft w:val="0"/>
                  <w:marRight w:val="0"/>
                  <w:marTop w:val="0"/>
                  <w:marBottom w:val="0"/>
                  <w:divBdr>
                    <w:top w:val="none" w:sz="0" w:space="0" w:color="auto"/>
                    <w:left w:val="none" w:sz="0" w:space="0" w:color="auto"/>
                    <w:bottom w:val="none" w:sz="0" w:space="0" w:color="auto"/>
                    <w:right w:val="none" w:sz="0" w:space="0" w:color="auto"/>
                  </w:divBdr>
                  <w:divsChild>
                    <w:div w:id="1995718170">
                      <w:marLeft w:val="0"/>
                      <w:marRight w:val="0"/>
                      <w:marTop w:val="0"/>
                      <w:marBottom w:val="0"/>
                      <w:divBdr>
                        <w:top w:val="none" w:sz="0" w:space="0" w:color="auto"/>
                        <w:left w:val="none" w:sz="0" w:space="0" w:color="auto"/>
                        <w:bottom w:val="none" w:sz="0" w:space="0" w:color="auto"/>
                        <w:right w:val="none" w:sz="0" w:space="0" w:color="auto"/>
                      </w:divBdr>
                      <w:divsChild>
                        <w:div w:id="467092217">
                          <w:marLeft w:val="0"/>
                          <w:marRight w:val="0"/>
                          <w:marTop w:val="0"/>
                          <w:marBottom w:val="0"/>
                          <w:divBdr>
                            <w:top w:val="none" w:sz="0" w:space="0" w:color="auto"/>
                            <w:left w:val="none" w:sz="0" w:space="0" w:color="auto"/>
                            <w:bottom w:val="none" w:sz="0" w:space="0" w:color="auto"/>
                            <w:right w:val="none" w:sz="0" w:space="0" w:color="auto"/>
                          </w:divBdr>
                          <w:divsChild>
                            <w:div w:id="2069960082">
                              <w:marLeft w:val="0"/>
                              <w:marRight w:val="0"/>
                              <w:marTop w:val="0"/>
                              <w:marBottom w:val="0"/>
                              <w:divBdr>
                                <w:top w:val="none" w:sz="0" w:space="0" w:color="auto"/>
                                <w:left w:val="none" w:sz="0" w:space="0" w:color="auto"/>
                                <w:bottom w:val="none" w:sz="0" w:space="0" w:color="auto"/>
                                <w:right w:val="none" w:sz="0" w:space="0" w:color="auto"/>
                              </w:divBdr>
                              <w:divsChild>
                                <w:div w:id="134455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5299641">
          <w:marLeft w:val="0"/>
          <w:marRight w:val="0"/>
          <w:marTop w:val="0"/>
          <w:marBottom w:val="0"/>
          <w:divBdr>
            <w:top w:val="none" w:sz="0" w:space="0" w:color="auto"/>
            <w:left w:val="none" w:sz="0" w:space="0" w:color="auto"/>
            <w:bottom w:val="none" w:sz="0" w:space="0" w:color="auto"/>
            <w:right w:val="none" w:sz="0" w:space="0" w:color="auto"/>
          </w:divBdr>
          <w:divsChild>
            <w:div w:id="1781604546">
              <w:marLeft w:val="0"/>
              <w:marRight w:val="0"/>
              <w:marTop w:val="0"/>
              <w:marBottom w:val="0"/>
              <w:divBdr>
                <w:top w:val="none" w:sz="0" w:space="0" w:color="auto"/>
                <w:left w:val="none" w:sz="0" w:space="0" w:color="auto"/>
                <w:bottom w:val="none" w:sz="0" w:space="0" w:color="auto"/>
                <w:right w:val="none" w:sz="0" w:space="0" w:color="auto"/>
              </w:divBdr>
              <w:divsChild>
                <w:div w:id="1144617772">
                  <w:marLeft w:val="0"/>
                  <w:marRight w:val="0"/>
                  <w:marTop w:val="0"/>
                  <w:marBottom w:val="0"/>
                  <w:divBdr>
                    <w:top w:val="none" w:sz="0" w:space="0" w:color="auto"/>
                    <w:left w:val="none" w:sz="0" w:space="0" w:color="auto"/>
                    <w:bottom w:val="none" w:sz="0" w:space="0" w:color="auto"/>
                    <w:right w:val="none" w:sz="0" w:space="0" w:color="auto"/>
                  </w:divBdr>
                  <w:divsChild>
                    <w:div w:id="804852005">
                      <w:marLeft w:val="0"/>
                      <w:marRight w:val="0"/>
                      <w:marTop w:val="0"/>
                      <w:marBottom w:val="0"/>
                      <w:divBdr>
                        <w:top w:val="none" w:sz="0" w:space="0" w:color="auto"/>
                        <w:left w:val="none" w:sz="0" w:space="0" w:color="auto"/>
                        <w:bottom w:val="none" w:sz="0" w:space="0" w:color="auto"/>
                        <w:right w:val="none" w:sz="0" w:space="0" w:color="auto"/>
                      </w:divBdr>
                    </w:div>
                    <w:div w:id="1164902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935300">
          <w:marLeft w:val="0"/>
          <w:marRight w:val="0"/>
          <w:marTop w:val="0"/>
          <w:marBottom w:val="0"/>
          <w:divBdr>
            <w:top w:val="none" w:sz="0" w:space="0" w:color="auto"/>
            <w:left w:val="none" w:sz="0" w:space="0" w:color="auto"/>
            <w:bottom w:val="none" w:sz="0" w:space="0" w:color="auto"/>
            <w:right w:val="none" w:sz="0" w:space="0" w:color="auto"/>
          </w:divBdr>
          <w:divsChild>
            <w:div w:id="1250121566">
              <w:marLeft w:val="0"/>
              <w:marRight w:val="0"/>
              <w:marTop w:val="0"/>
              <w:marBottom w:val="0"/>
              <w:divBdr>
                <w:top w:val="none" w:sz="0" w:space="0" w:color="auto"/>
                <w:left w:val="none" w:sz="0" w:space="0" w:color="auto"/>
                <w:bottom w:val="none" w:sz="0" w:space="0" w:color="auto"/>
                <w:right w:val="none" w:sz="0" w:space="0" w:color="auto"/>
              </w:divBdr>
              <w:divsChild>
                <w:div w:id="1598754946">
                  <w:marLeft w:val="0"/>
                  <w:marRight w:val="0"/>
                  <w:marTop w:val="0"/>
                  <w:marBottom w:val="0"/>
                  <w:divBdr>
                    <w:top w:val="none" w:sz="0" w:space="0" w:color="auto"/>
                    <w:left w:val="none" w:sz="0" w:space="0" w:color="auto"/>
                    <w:bottom w:val="none" w:sz="0" w:space="0" w:color="auto"/>
                    <w:right w:val="none" w:sz="0" w:space="0" w:color="auto"/>
                  </w:divBdr>
                  <w:divsChild>
                    <w:div w:id="1138377074">
                      <w:marLeft w:val="0"/>
                      <w:marRight w:val="0"/>
                      <w:marTop w:val="0"/>
                      <w:marBottom w:val="0"/>
                      <w:divBdr>
                        <w:top w:val="none" w:sz="0" w:space="0" w:color="auto"/>
                        <w:left w:val="none" w:sz="0" w:space="0" w:color="auto"/>
                        <w:bottom w:val="none" w:sz="0" w:space="0" w:color="auto"/>
                        <w:right w:val="none" w:sz="0" w:space="0" w:color="auto"/>
                      </w:divBdr>
                      <w:divsChild>
                        <w:div w:id="785273597">
                          <w:marLeft w:val="0"/>
                          <w:marRight w:val="0"/>
                          <w:marTop w:val="0"/>
                          <w:marBottom w:val="0"/>
                          <w:divBdr>
                            <w:top w:val="none" w:sz="0" w:space="0" w:color="auto"/>
                            <w:left w:val="none" w:sz="0" w:space="0" w:color="auto"/>
                            <w:bottom w:val="none" w:sz="0" w:space="0" w:color="auto"/>
                            <w:right w:val="none" w:sz="0" w:space="0" w:color="auto"/>
                          </w:divBdr>
                          <w:divsChild>
                            <w:div w:id="780536924">
                              <w:marLeft w:val="0"/>
                              <w:marRight w:val="0"/>
                              <w:marTop w:val="0"/>
                              <w:marBottom w:val="0"/>
                              <w:divBdr>
                                <w:top w:val="none" w:sz="0" w:space="0" w:color="auto"/>
                                <w:left w:val="none" w:sz="0" w:space="0" w:color="auto"/>
                                <w:bottom w:val="none" w:sz="0" w:space="0" w:color="auto"/>
                                <w:right w:val="none" w:sz="0" w:space="0" w:color="auto"/>
                              </w:divBdr>
                              <w:divsChild>
                                <w:div w:id="699672700">
                                  <w:marLeft w:val="0"/>
                                  <w:marRight w:val="0"/>
                                  <w:marTop w:val="0"/>
                                  <w:marBottom w:val="0"/>
                                  <w:divBdr>
                                    <w:top w:val="none" w:sz="0" w:space="0" w:color="auto"/>
                                    <w:left w:val="none" w:sz="0" w:space="0" w:color="auto"/>
                                    <w:bottom w:val="none" w:sz="0" w:space="0" w:color="auto"/>
                                    <w:right w:val="none" w:sz="0" w:space="0" w:color="auto"/>
                                  </w:divBdr>
                                  <w:divsChild>
                                    <w:div w:id="1905993792">
                                      <w:marLeft w:val="0"/>
                                      <w:marRight w:val="0"/>
                                      <w:marTop w:val="0"/>
                                      <w:marBottom w:val="0"/>
                                      <w:divBdr>
                                        <w:top w:val="none" w:sz="0" w:space="0" w:color="auto"/>
                                        <w:left w:val="none" w:sz="0" w:space="0" w:color="auto"/>
                                        <w:bottom w:val="none" w:sz="0" w:space="0" w:color="auto"/>
                                        <w:right w:val="none" w:sz="0" w:space="0" w:color="auto"/>
                                      </w:divBdr>
                                      <w:divsChild>
                                        <w:div w:id="64377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83861861">
          <w:marLeft w:val="0"/>
          <w:marRight w:val="0"/>
          <w:marTop w:val="0"/>
          <w:marBottom w:val="0"/>
          <w:divBdr>
            <w:top w:val="none" w:sz="0" w:space="0" w:color="auto"/>
            <w:left w:val="none" w:sz="0" w:space="0" w:color="auto"/>
            <w:bottom w:val="none" w:sz="0" w:space="0" w:color="auto"/>
            <w:right w:val="none" w:sz="0" w:space="0" w:color="auto"/>
          </w:divBdr>
          <w:divsChild>
            <w:div w:id="765660416">
              <w:marLeft w:val="0"/>
              <w:marRight w:val="0"/>
              <w:marTop w:val="0"/>
              <w:marBottom w:val="0"/>
              <w:divBdr>
                <w:top w:val="none" w:sz="0" w:space="0" w:color="auto"/>
                <w:left w:val="none" w:sz="0" w:space="0" w:color="auto"/>
                <w:bottom w:val="none" w:sz="0" w:space="0" w:color="auto"/>
                <w:right w:val="none" w:sz="0" w:space="0" w:color="auto"/>
              </w:divBdr>
              <w:divsChild>
                <w:div w:id="359622191">
                  <w:marLeft w:val="0"/>
                  <w:marRight w:val="0"/>
                  <w:marTop w:val="0"/>
                  <w:marBottom w:val="0"/>
                  <w:divBdr>
                    <w:top w:val="none" w:sz="0" w:space="0" w:color="auto"/>
                    <w:left w:val="none" w:sz="0" w:space="0" w:color="auto"/>
                    <w:bottom w:val="none" w:sz="0" w:space="0" w:color="auto"/>
                    <w:right w:val="none" w:sz="0" w:space="0" w:color="auto"/>
                  </w:divBdr>
                  <w:divsChild>
                    <w:div w:id="676229272">
                      <w:marLeft w:val="0"/>
                      <w:marRight w:val="0"/>
                      <w:marTop w:val="0"/>
                      <w:marBottom w:val="0"/>
                      <w:divBdr>
                        <w:top w:val="none" w:sz="0" w:space="0" w:color="auto"/>
                        <w:left w:val="none" w:sz="0" w:space="0" w:color="auto"/>
                        <w:bottom w:val="none" w:sz="0" w:space="0" w:color="auto"/>
                        <w:right w:val="none" w:sz="0" w:space="0" w:color="auto"/>
                      </w:divBdr>
                      <w:divsChild>
                        <w:div w:id="1327131526">
                          <w:marLeft w:val="0"/>
                          <w:marRight w:val="0"/>
                          <w:marTop w:val="0"/>
                          <w:marBottom w:val="0"/>
                          <w:divBdr>
                            <w:top w:val="none" w:sz="0" w:space="0" w:color="auto"/>
                            <w:left w:val="none" w:sz="0" w:space="0" w:color="auto"/>
                            <w:bottom w:val="none" w:sz="0" w:space="0" w:color="auto"/>
                            <w:right w:val="none" w:sz="0" w:space="0" w:color="auto"/>
                          </w:divBdr>
                          <w:divsChild>
                            <w:div w:id="1276911850">
                              <w:marLeft w:val="0"/>
                              <w:marRight w:val="0"/>
                              <w:marTop w:val="0"/>
                              <w:marBottom w:val="0"/>
                              <w:divBdr>
                                <w:top w:val="none" w:sz="0" w:space="0" w:color="auto"/>
                                <w:left w:val="none" w:sz="0" w:space="0" w:color="auto"/>
                                <w:bottom w:val="none" w:sz="0" w:space="0" w:color="auto"/>
                                <w:right w:val="none" w:sz="0" w:space="0" w:color="auto"/>
                              </w:divBdr>
                              <w:divsChild>
                                <w:div w:id="1726946451">
                                  <w:marLeft w:val="0"/>
                                  <w:marRight w:val="0"/>
                                  <w:marTop w:val="0"/>
                                  <w:marBottom w:val="0"/>
                                  <w:divBdr>
                                    <w:top w:val="none" w:sz="0" w:space="0" w:color="auto"/>
                                    <w:left w:val="none" w:sz="0" w:space="0" w:color="auto"/>
                                    <w:bottom w:val="none" w:sz="0" w:space="0" w:color="auto"/>
                                    <w:right w:val="none" w:sz="0" w:space="0" w:color="auto"/>
                                  </w:divBdr>
                                  <w:divsChild>
                                    <w:div w:id="1745297296">
                                      <w:marLeft w:val="0"/>
                                      <w:marRight w:val="0"/>
                                      <w:marTop w:val="0"/>
                                      <w:marBottom w:val="0"/>
                                      <w:divBdr>
                                        <w:top w:val="none" w:sz="0" w:space="0" w:color="auto"/>
                                        <w:left w:val="none" w:sz="0" w:space="0" w:color="auto"/>
                                        <w:bottom w:val="none" w:sz="0" w:space="0" w:color="auto"/>
                                        <w:right w:val="none" w:sz="0" w:space="0" w:color="auto"/>
                                      </w:divBdr>
                                      <w:divsChild>
                                        <w:div w:id="512381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04916700">
          <w:marLeft w:val="0"/>
          <w:marRight w:val="0"/>
          <w:marTop w:val="0"/>
          <w:marBottom w:val="0"/>
          <w:divBdr>
            <w:top w:val="none" w:sz="0" w:space="0" w:color="auto"/>
            <w:left w:val="none" w:sz="0" w:space="0" w:color="auto"/>
            <w:bottom w:val="none" w:sz="0" w:space="0" w:color="auto"/>
            <w:right w:val="none" w:sz="0" w:space="0" w:color="auto"/>
          </w:divBdr>
          <w:divsChild>
            <w:div w:id="55520344">
              <w:marLeft w:val="0"/>
              <w:marRight w:val="0"/>
              <w:marTop w:val="0"/>
              <w:marBottom w:val="0"/>
              <w:divBdr>
                <w:top w:val="none" w:sz="0" w:space="0" w:color="auto"/>
                <w:left w:val="none" w:sz="0" w:space="0" w:color="auto"/>
                <w:bottom w:val="none" w:sz="0" w:space="0" w:color="auto"/>
                <w:right w:val="none" w:sz="0" w:space="0" w:color="auto"/>
              </w:divBdr>
              <w:divsChild>
                <w:div w:id="255482334">
                  <w:marLeft w:val="0"/>
                  <w:marRight w:val="0"/>
                  <w:marTop w:val="0"/>
                  <w:marBottom w:val="0"/>
                  <w:divBdr>
                    <w:top w:val="none" w:sz="0" w:space="0" w:color="auto"/>
                    <w:left w:val="none" w:sz="0" w:space="0" w:color="auto"/>
                    <w:bottom w:val="none" w:sz="0" w:space="0" w:color="auto"/>
                    <w:right w:val="none" w:sz="0" w:space="0" w:color="auto"/>
                  </w:divBdr>
                  <w:divsChild>
                    <w:div w:id="2118668861">
                      <w:marLeft w:val="0"/>
                      <w:marRight w:val="0"/>
                      <w:marTop w:val="0"/>
                      <w:marBottom w:val="0"/>
                      <w:divBdr>
                        <w:top w:val="none" w:sz="0" w:space="0" w:color="auto"/>
                        <w:left w:val="none" w:sz="0" w:space="0" w:color="auto"/>
                        <w:bottom w:val="none" w:sz="0" w:space="0" w:color="auto"/>
                        <w:right w:val="none" w:sz="0" w:space="0" w:color="auto"/>
                      </w:divBdr>
                      <w:divsChild>
                        <w:div w:id="704015574">
                          <w:marLeft w:val="0"/>
                          <w:marRight w:val="0"/>
                          <w:marTop w:val="0"/>
                          <w:marBottom w:val="0"/>
                          <w:divBdr>
                            <w:top w:val="none" w:sz="0" w:space="0" w:color="auto"/>
                            <w:left w:val="none" w:sz="0" w:space="0" w:color="auto"/>
                            <w:bottom w:val="none" w:sz="0" w:space="0" w:color="auto"/>
                            <w:right w:val="none" w:sz="0" w:space="0" w:color="auto"/>
                          </w:divBdr>
                          <w:divsChild>
                            <w:div w:id="488980569">
                              <w:marLeft w:val="0"/>
                              <w:marRight w:val="0"/>
                              <w:marTop w:val="0"/>
                              <w:marBottom w:val="0"/>
                              <w:divBdr>
                                <w:top w:val="none" w:sz="0" w:space="0" w:color="auto"/>
                                <w:left w:val="none" w:sz="0" w:space="0" w:color="auto"/>
                                <w:bottom w:val="none" w:sz="0" w:space="0" w:color="auto"/>
                                <w:right w:val="none" w:sz="0" w:space="0" w:color="auto"/>
                              </w:divBdr>
                              <w:divsChild>
                                <w:div w:id="870922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1893656">
                  <w:marLeft w:val="0"/>
                  <w:marRight w:val="0"/>
                  <w:marTop w:val="0"/>
                  <w:marBottom w:val="0"/>
                  <w:divBdr>
                    <w:top w:val="none" w:sz="0" w:space="0" w:color="auto"/>
                    <w:left w:val="none" w:sz="0" w:space="0" w:color="auto"/>
                    <w:bottom w:val="none" w:sz="0" w:space="0" w:color="auto"/>
                    <w:right w:val="none" w:sz="0" w:space="0" w:color="auto"/>
                  </w:divBdr>
                  <w:divsChild>
                    <w:div w:id="2051756720">
                      <w:marLeft w:val="0"/>
                      <w:marRight w:val="0"/>
                      <w:marTop w:val="0"/>
                      <w:marBottom w:val="0"/>
                      <w:divBdr>
                        <w:top w:val="none" w:sz="0" w:space="0" w:color="auto"/>
                        <w:left w:val="none" w:sz="0" w:space="0" w:color="auto"/>
                        <w:bottom w:val="none" w:sz="0" w:space="0" w:color="auto"/>
                        <w:right w:val="none" w:sz="0" w:space="0" w:color="auto"/>
                      </w:divBdr>
                      <w:divsChild>
                        <w:div w:id="315645488">
                          <w:marLeft w:val="0"/>
                          <w:marRight w:val="0"/>
                          <w:marTop w:val="0"/>
                          <w:marBottom w:val="0"/>
                          <w:divBdr>
                            <w:top w:val="none" w:sz="0" w:space="0" w:color="auto"/>
                            <w:left w:val="none" w:sz="0" w:space="0" w:color="auto"/>
                            <w:bottom w:val="none" w:sz="0" w:space="0" w:color="auto"/>
                            <w:right w:val="none" w:sz="0" w:space="0" w:color="auto"/>
                          </w:divBdr>
                          <w:divsChild>
                            <w:div w:id="1292132115">
                              <w:marLeft w:val="0"/>
                              <w:marRight w:val="0"/>
                              <w:marTop w:val="0"/>
                              <w:marBottom w:val="0"/>
                              <w:divBdr>
                                <w:top w:val="none" w:sz="0" w:space="0" w:color="auto"/>
                                <w:left w:val="none" w:sz="0" w:space="0" w:color="auto"/>
                                <w:bottom w:val="none" w:sz="0" w:space="0" w:color="auto"/>
                                <w:right w:val="none" w:sz="0" w:space="0" w:color="auto"/>
                              </w:divBdr>
                              <w:divsChild>
                                <w:div w:id="264071821">
                                  <w:marLeft w:val="0"/>
                                  <w:marRight w:val="0"/>
                                  <w:marTop w:val="0"/>
                                  <w:marBottom w:val="0"/>
                                  <w:divBdr>
                                    <w:top w:val="none" w:sz="0" w:space="0" w:color="auto"/>
                                    <w:left w:val="none" w:sz="0" w:space="0" w:color="auto"/>
                                    <w:bottom w:val="none" w:sz="0" w:space="0" w:color="auto"/>
                                    <w:right w:val="none" w:sz="0" w:space="0" w:color="auto"/>
                                  </w:divBdr>
                                  <w:divsChild>
                                    <w:div w:id="1126579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43833452">
          <w:marLeft w:val="0"/>
          <w:marRight w:val="0"/>
          <w:marTop w:val="0"/>
          <w:marBottom w:val="0"/>
          <w:divBdr>
            <w:top w:val="none" w:sz="0" w:space="0" w:color="auto"/>
            <w:left w:val="none" w:sz="0" w:space="0" w:color="auto"/>
            <w:bottom w:val="none" w:sz="0" w:space="0" w:color="auto"/>
            <w:right w:val="none" w:sz="0" w:space="0" w:color="auto"/>
          </w:divBdr>
          <w:divsChild>
            <w:div w:id="1287467277">
              <w:marLeft w:val="0"/>
              <w:marRight w:val="0"/>
              <w:marTop w:val="0"/>
              <w:marBottom w:val="0"/>
              <w:divBdr>
                <w:top w:val="none" w:sz="0" w:space="0" w:color="auto"/>
                <w:left w:val="none" w:sz="0" w:space="0" w:color="auto"/>
                <w:bottom w:val="none" w:sz="0" w:space="0" w:color="auto"/>
                <w:right w:val="none" w:sz="0" w:space="0" w:color="auto"/>
              </w:divBdr>
              <w:divsChild>
                <w:div w:id="2030373564">
                  <w:marLeft w:val="0"/>
                  <w:marRight w:val="0"/>
                  <w:marTop w:val="0"/>
                  <w:marBottom w:val="0"/>
                  <w:divBdr>
                    <w:top w:val="none" w:sz="0" w:space="0" w:color="auto"/>
                    <w:left w:val="none" w:sz="0" w:space="0" w:color="auto"/>
                    <w:bottom w:val="none" w:sz="0" w:space="0" w:color="auto"/>
                    <w:right w:val="none" w:sz="0" w:space="0" w:color="auto"/>
                  </w:divBdr>
                  <w:divsChild>
                    <w:div w:id="1404259043">
                      <w:marLeft w:val="0"/>
                      <w:marRight w:val="0"/>
                      <w:marTop w:val="0"/>
                      <w:marBottom w:val="0"/>
                      <w:divBdr>
                        <w:top w:val="none" w:sz="0" w:space="0" w:color="auto"/>
                        <w:left w:val="none" w:sz="0" w:space="0" w:color="auto"/>
                        <w:bottom w:val="none" w:sz="0" w:space="0" w:color="auto"/>
                        <w:right w:val="none" w:sz="0" w:space="0" w:color="auto"/>
                      </w:divBdr>
                      <w:divsChild>
                        <w:div w:id="369691641">
                          <w:marLeft w:val="0"/>
                          <w:marRight w:val="0"/>
                          <w:marTop w:val="0"/>
                          <w:marBottom w:val="0"/>
                          <w:divBdr>
                            <w:top w:val="none" w:sz="0" w:space="0" w:color="auto"/>
                            <w:left w:val="none" w:sz="0" w:space="0" w:color="auto"/>
                            <w:bottom w:val="none" w:sz="0" w:space="0" w:color="auto"/>
                            <w:right w:val="none" w:sz="0" w:space="0" w:color="auto"/>
                          </w:divBdr>
                          <w:divsChild>
                            <w:div w:id="542135709">
                              <w:marLeft w:val="0"/>
                              <w:marRight w:val="0"/>
                              <w:marTop w:val="0"/>
                              <w:marBottom w:val="0"/>
                              <w:divBdr>
                                <w:top w:val="none" w:sz="0" w:space="0" w:color="auto"/>
                                <w:left w:val="none" w:sz="0" w:space="0" w:color="auto"/>
                                <w:bottom w:val="none" w:sz="0" w:space="0" w:color="auto"/>
                                <w:right w:val="none" w:sz="0" w:space="0" w:color="auto"/>
                              </w:divBdr>
                              <w:divsChild>
                                <w:div w:id="179051539">
                                  <w:marLeft w:val="0"/>
                                  <w:marRight w:val="0"/>
                                  <w:marTop w:val="0"/>
                                  <w:marBottom w:val="0"/>
                                  <w:divBdr>
                                    <w:top w:val="none" w:sz="0" w:space="0" w:color="auto"/>
                                    <w:left w:val="none" w:sz="0" w:space="0" w:color="auto"/>
                                    <w:bottom w:val="none" w:sz="0" w:space="0" w:color="auto"/>
                                    <w:right w:val="none" w:sz="0" w:space="0" w:color="auto"/>
                                  </w:divBdr>
                                  <w:divsChild>
                                    <w:div w:id="2123569591">
                                      <w:marLeft w:val="0"/>
                                      <w:marRight w:val="0"/>
                                      <w:marTop w:val="0"/>
                                      <w:marBottom w:val="0"/>
                                      <w:divBdr>
                                        <w:top w:val="none" w:sz="0" w:space="0" w:color="auto"/>
                                        <w:left w:val="none" w:sz="0" w:space="0" w:color="auto"/>
                                        <w:bottom w:val="none" w:sz="0" w:space="0" w:color="auto"/>
                                        <w:right w:val="none" w:sz="0" w:space="0" w:color="auto"/>
                                      </w:divBdr>
                                      <w:divsChild>
                                        <w:div w:id="91536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79173638">
          <w:marLeft w:val="0"/>
          <w:marRight w:val="0"/>
          <w:marTop w:val="0"/>
          <w:marBottom w:val="0"/>
          <w:divBdr>
            <w:top w:val="none" w:sz="0" w:space="0" w:color="auto"/>
            <w:left w:val="none" w:sz="0" w:space="0" w:color="auto"/>
            <w:bottom w:val="none" w:sz="0" w:space="0" w:color="auto"/>
            <w:right w:val="none" w:sz="0" w:space="0" w:color="auto"/>
          </w:divBdr>
          <w:divsChild>
            <w:div w:id="1254050860">
              <w:marLeft w:val="0"/>
              <w:marRight w:val="0"/>
              <w:marTop w:val="0"/>
              <w:marBottom w:val="0"/>
              <w:divBdr>
                <w:top w:val="none" w:sz="0" w:space="0" w:color="auto"/>
                <w:left w:val="none" w:sz="0" w:space="0" w:color="auto"/>
                <w:bottom w:val="none" w:sz="0" w:space="0" w:color="auto"/>
                <w:right w:val="none" w:sz="0" w:space="0" w:color="auto"/>
              </w:divBdr>
              <w:divsChild>
                <w:div w:id="984118362">
                  <w:marLeft w:val="0"/>
                  <w:marRight w:val="0"/>
                  <w:marTop w:val="0"/>
                  <w:marBottom w:val="0"/>
                  <w:divBdr>
                    <w:top w:val="none" w:sz="0" w:space="0" w:color="auto"/>
                    <w:left w:val="none" w:sz="0" w:space="0" w:color="auto"/>
                    <w:bottom w:val="none" w:sz="0" w:space="0" w:color="auto"/>
                    <w:right w:val="none" w:sz="0" w:space="0" w:color="auto"/>
                  </w:divBdr>
                  <w:divsChild>
                    <w:div w:id="901252868">
                      <w:marLeft w:val="0"/>
                      <w:marRight w:val="0"/>
                      <w:marTop w:val="0"/>
                      <w:marBottom w:val="0"/>
                      <w:divBdr>
                        <w:top w:val="none" w:sz="0" w:space="0" w:color="auto"/>
                        <w:left w:val="none" w:sz="0" w:space="0" w:color="auto"/>
                        <w:bottom w:val="none" w:sz="0" w:space="0" w:color="auto"/>
                        <w:right w:val="none" w:sz="0" w:space="0" w:color="auto"/>
                      </w:divBdr>
                      <w:divsChild>
                        <w:div w:id="1103453929">
                          <w:marLeft w:val="0"/>
                          <w:marRight w:val="0"/>
                          <w:marTop w:val="0"/>
                          <w:marBottom w:val="0"/>
                          <w:divBdr>
                            <w:top w:val="none" w:sz="0" w:space="0" w:color="auto"/>
                            <w:left w:val="none" w:sz="0" w:space="0" w:color="auto"/>
                            <w:bottom w:val="none" w:sz="0" w:space="0" w:color="auto"/>
                            <w:right w:val="none" w:sz="0" w:space="0" w:color="auto"/>
                          </w:divBdr>
                          <w:divsChild>
                            <w:div w:id="1570380180">
                              <w:marLeft w:val="0"/>
                              <w:marRight w:val="0"/>
                              <w:marTop w:val="0"/>
                              <w:marBottom w:val="0"/>
                              <w:divBdr>
                                <w:top w:val="none" w:sz="0" w:space="0" w:color="auto"/>
                                <w:left w:val="none" w:sz="0" w:space="0" w:color="auto"/>
                                <w:bottom w:val="none" w:sz="0" w:space="0" w:color="auto"/>
                                <w:right w:val="none" w:sz="0" w:space="0" w:color="auto"/>
                              </w:divBdr>
                              <w:divsChild>
                                <w:div w:id="437066112">
                                  <w:marLeft w:val="0"/>
                                  <w:marRight w:val="0"/>
                                  <w:marTop w:val="0"/>
                                  <w:marBottom w:val="0"/>
                                  <w:divBdr>
                                    <w:top w:val="none" w:sz="0" w:space="0" w:color="auto"/>
                                    <w:left w:val="none" w:sz="0" w:space="0" w:color="auto"/>
                                    <w:bottom w:val="none" w:sz="0" w:space="0" w:color="auto"/>
                                    <w:right w:val="none" w:sz="0" w:space="0" w:color="auto"/>
                                  </w:divBdr>
                                  <w:divsChild>
                                    <w:div w:id="1948661151">
                                      <w:marLeft w:val="0"/>
                                      <w:marRight w:val="0"/>
                                      <w:marTop w:val="0"/>
                                      <w:marBottom w:val="0"/>
                                      <w:divBdr>
                                        <w:top w:val="none" w:sz="0" w:space="0" w:color="auto"/>
                                        <w:left w:val="none" w:sz="0" w:space="0" w:color="auto"/>
                                        <w:bottom w:val="none" w:sz="0" w:space="0" w:color="auto"/>
                                        <w:right w:val="none" w:sz="0" w:space="0" w:color="auto"/>
                                      </w:divBdr>
                                      <w:divsChild>
                                        <w:div w:id="1744989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15866474">
          <w:marLeft w:val="0"/>
          <w:marRight w:val="0"/>
          <w:marTop w:val="0"/>
          <w:marBottom w:val="0"/>
          <w:divBdr>
            <w:top w:val="none" w:sz="0" w:space="0" w:color="auto"/>
            <w:left w:val="none" w:sz="0" w:space="0" w:color="auto"/>
            <w:bottom w:val="none" w:sz="0" w:space="0" w:color="auto"/>
            <w:right w:val="none" w:sz="0" w:space="0" w:color="auto"/>
          </w:divBdr>
          <w:divsChild>
            <w:div w:id="1574391099">
              <w:marLeft w:val="0"/>
              <w:marRight w:val="0"/>
              <w:marTop w:val="0"/>
              <w:marBottom w:val="0"/>
              <w:divBdr>
                <w:top w:val="none" w:sz="0" w:space="0" w:color="auto"/>
                <w:left w:val="none" w:sz="0" w:space="0" w:color="auto"/>
                <w:bottom w:val="none" w:sz="0" w:space="0" w:color="auto"/>
                <w:right w:val="none" w:sz="0" w:space="0" w:color="auto"/>
              </w:divBdr>
              <w:divsChild>
                <w:div w:id="1589848506">
                  <w:marLeft w:val="0"/>
                  <w:marRight w:val="0"/>
                  <w:marTop w:val="0"/>
                  <w:marBottom w:val="0"/>
                  <w:divBdr>
                    <w:top w:val="none" w:sz="0" w:space="0" w:color="auto"/>
                    <w:left w:val="none" w:sz="0" w:space="0" w:color="auto"/>
                    <w:bottom w:val="none" w:sz="0" w:space="0" w:color="auto"/>
                    <w:right w:val="none" w:sz="0" w:space="0" w:color="auto"/>
                  </w:divBdr>
                  <w:divsChild>
                    <w:div w:id="959650223">
                      <w:marLeft w:val="0"/>
                      <w:marRight w:val="0"/>
                      <w:marTop w:val="0"/>
                      <w:marBottom w:val="0"/>
                      <w:divBdr>
                        <w:top w:val="none" w:sz="0" w:space="0" w:color="auto"/>
                        <w:left w:val="none" w:sz="0" w:space="0" w:color="auto"/>
                        <w:bottom w:val="none" w:sz="0" w:space="0" w:color="auto"/>
                        <w:right w:val="none" w:sz="0" w:space="0" w:color="auto"/>
                      </w:divBdr>
                      <w:divsChild>
                        <w:div w:id="1682049446">
                          <w:marLeft w:val="0"/>
                          <w:marRight w:val="0"/>
                          <w:marTop w:val="0"/>
                          <w:marBottom w:val="0"/>
                          <w:divBdr>
                            <w:top w:val="none" w:sz="0" w:space="0" w:color="auto"/>
                            <w:left w:val="none" w:sz="0" w:space="0" w:color="auto"/>
                            <w:bottom w:val="none" w:sz="0" w:space="0" w:color="auto"/>
                            <w:right w:val="none" w:sz="0" w:space="0" w:color="auto"/>
                          </w:divBdr>
                          <w:divsChild>
                            <w:div w:id="1354109812">
                              <w:marLeft w:val="0"/>
                              <w:marRight w:val="0"/>
                              <w:marTop w:val="0"/>
                              <w:marBottom w:val="0"/>
                              <w:divBdr>
                                <w:top w:val="none" w:sz="0" w:space="0" w:color="auto"/>
                                <w:left w:val="none" w:sz="0" w:space="0" w:color="auto"/>
                                <w:bottom w:val="none" w:sz="0" w:space="0" w:color="auto"/>
                                <w:right w:val="none" w:sz="0" w:space="0" w:color="auto"/>
                              </w:divBdr>
                              <w:divsChild>
                                <w:div w:id="853956766">
                                  <w:marLeft w:val="0"/>
                                  <w:marRight w:val="0"/>
                                  <w:marTop w:val="0"/>
                                  <w:marBottom w:val="0"/>
                                  <w:divBdr>
                                    <w:top w:val="none" w:sz="0" w:space="0" w:color="auto"/>
                                    <w:left w:val="none" w:sz="0" w:space="0" w:color="auto"/>
                                    <w:bottom w:val="none" w:sz="0" w:space="0" w:color="auto"/>
                                    <w:right w:val="none" w:sz="0" w:space="0" w:color="auto"/>
                                  </w:divBdr>
                                  <w:divsChild>
                                    <w:div w:id="1963149178">
                                      <w:marLeft w:val="0"/>
                                      <w:marRight w:val="0"/>
                                      <w:marTop w:val="0"/>
                                      <w:marBottom w:val="0"/>
                                      <w:divBdr>
                                        <w:top w:val="none" w:sz="0" w:space="0" w:color="auto"/>
                                        <w:left w:val="none" w:sz="0" w:space="0" w:color="auto"/>
                                        <w:bottom w:val="none" w:sz="0" w:space="0" w:color="auto"/>
                                        <w:right w:val="none" w:sz="0" w:space="0" w:color="auto"/>
                                      </w:divBdr>
                                      <w:divsChild>
                                        <w:div w:id="61644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81272602">
          <w:marLeft w:val="0"/>
          <w:marRight w:val="0"/>
          <w:marTop w:val="0"/>
          <w:marBottom w:val="0"/>
          <w:divBdr>
            <w:top w:val="none" w:sz="0" w:space="0" w:color="auto"/>
            <w:left w:val="none" w:sz="0" w:space="0" w:color="auto"/>
            <w:bottom w:val="none" w:sz="0" w:space="0" w:color="auto"/>
            <w:right w:val="none" w:sz="0" w:space="0" w:color="auto"/>
          </w:divBdr>
          <w:divsChild>
            <w:div w:id="1930693615">
              <w:marLeft w:val="0"/>
              <w:marRight w:val="0"/>
              <w:marTop w:val="0"/>
              <w:marBottom w:val="0"/>
              <w:divBdr>
                <w:top w:val="none" w:sz="0" w:space="0" w:color="auto"/>
                <w:left w:val="none" w:sz="0" w:space="0" w:color="auto"/>
                <w:bottom w:val="none" w:sz="0" w:space="0" w:color="auto"/>
                <w:right w:val="none" w:sz="0" w:space="0" w:color="auto"/>
              </w:divBdr>
              <w:divsChild>
                <w:div w:id="161357629">
                  <w:marLeft w:val="0"/>
                  <w:marRight w:val="0"/>
                  <w:marTop w:val="0"/>
                  <w:marBottom w:val="0"/>
                  <w:divBdr>
                    <w:top w:val="none" w:sz="0" w:space="0" w:color="auto"/>
                    <w:left w:val="none" w:sz="0" w:space="0" w:color="auto"/>
                    <w:bottom w:val="none" w:sz="0" w:space="0" w:color="auto"/>
                    <w:right w:val="none" w:sz="0" w:space="0" w:color="auto"/>
                  </w:divBdr>
                  <w:divsChild>
                    <w:div w:id="984701792">
                      <w:marLeft w:val="0"/>
                      <w:marRight w:val="0"/>
                      <w:marTop w:val="0"/>
                      <w:marBottom w:val="0"/>
                      <w:divBdr>
                        <w:top w:val="none" w:sz="0" w:space="0" w:color="auto"/>
                        <w:left w:val="none" w:sz="0" w:space="0" w:color="auto"/>
                        <w:bottom w:val="none" w:sz="0" w:space="0" w:color="auto"/>
                        <w:right w:val="none" w:sz="0" w:space="0" w:color="auto"/>
                      </w:divBdr>
                      <w:divsChild>
                        <w:div w:id="186915857">
                          <w:marLeft w:val="0"/>
                          <w:marRight w:val="0"/>
                          <w:marTop w:val="0"/>
                          <w:marBottom w:val="0"/>
                          <w:divBdr>
                            <w:top w:val="none" w:sz="0" w:space="0" w:color="auto"/>
                            <w:left w:val="none" w:sz="0" w:space="0" w:color="auto"/>
                            <w:bottom w:val="none" w:sz="0" w:space="0" w:color="auto"/>
                            <w:right w:val="none" w:sz="0" w:space="0" w:color="auto"/>
                          </w:divBdr>
                          <w:divsChild>
                            <w:div w:id="1648196380">
                              <w:marLeft w:val="0"/>
                              <w:marRight w:val="0"/>
                              <w:marTop w:val="0"/>
                              <w:marBottom w:val="0"/>
                              <w:divBdr>
                                <w:top w:val="none" w:sz="0" w:space="0" w:color="auto"/>
                                <w:left w:val="none" w:sz="0" w:space="0" w:color="auto"/>
                                <w:bottom w:val="none" w:sz="0" w:space="0" w:color="auto"/>
                                <w:right w:val="none" w:sz="0" w:space="0" w:color="auto"/>
                              </w:divBdr>
                              <w:divsChild>
                                <w:div w:id="845511938">
                                  <w:marLeft w:val="0"/>
                                  <w:marRight w:val="0"/>
                                  <w:marTop w:val="0"/>
                                  <w:marBottom w:val="0"/>
                                  <w:divBdr>
                                    <w:top w:val="none" w:sz="0" w:space="0" w:color="auto"/>
                                    <w:left w:val="none" w:sz="0" w:space="0" w:color="auto"/>
                                    <w:bottom w:val="none" w:sz="0" w:space="0" w:color="auto"/>
                                    <w:right w:val="none" w:sz="0" w:space="0" w:color="auto"/>
                                  </w:divBdr>
                                  <w:divsChild>
                                    <w:div w:id="76514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1173023">
                  <w:marLeft w:val="0"/>
                  <w:marRight w:val="0"/>
                  <w:marTop w:val="0"/>
                  <w:marBottom w:val="0"/>
                  <w:divBdr>
                    <w:top w:val="none" w:sz="0" w:space="0" w:color="auto"/>
                    <w:left w:val="none" w:sz="0" w:space="0" w:color="auto"/>
                    <w:bottom w:val="none" w:sz="0" w:space="0" w:color="auto"/>
                    <w:right w:val="none" w:sz="0" w:space="0" w:color="auto"/>
                  </w:divBdr>
                  <w:divsChild>
                    <w:div w:id="1228883324">
                      <w:marLeft w:val="0"/>
                      <w:marRight w:val="0"/>
                      <w:marTop w:val="0"/>
                      <w:marBottom w:val="0"/>
                      <w:divBdr>
                        <w:top w:val="none" w:sz="0" w:space="0" w:color="auto"/>
                        <w:left w:val="none" w:sz="0" w:space="0" w:color="auto"/>
                        <w:bottom w:val="none" w:sz="0" w:space="0" w:color="auto"/>
                        <w:right w:val="none" w:sz="0" w:space="0" w:color="auto"/>
                      </w:divBdr>
                      <w:divsChild>
                        <w:div w:id="1718774239">
                          <w:marLeft w:val="0"/>
                          <w:marRight w:val="0"/>
                          <w:marTop w:val="0"/>
                          <w:marBottom w:val="0"/>
                          <w:divBdr>
                            <w:top w:val="none" w:sz="0" w:space="0" w:color="auto"/>
                            <w:left w:val="none" w:sz="0" w:space="0" w:color="auto"/>
                            <w:bottom w:val="none" w:sz="0" w:space="0" w:color="auto"/>
                            <w:right w:val="none" w:sz="0" w:space="0" w:color="auto"/>
                          </w:divBdr>
                          <w:divsChild>
                            <w:div w:id="2063599222">
                              <w:marLeft w:val="0"/>
                              <w:marRight w:val="0"/>
                              <w:marTop w:val="0"/>
                              <w:marBottom w:val="0"/>
                              <w:divBdr>
                                <w:top w:val="none" w:sz="0" w:space="0" w:color="auto"/>
                                <w:left w:val="none" w:sz="0" w:space="0" w:color="auto"/>
                                <w:bottom w:val="none" w:sz="0" w:space="0" w:color="auto"/>
                                <w:right w:val="none" w:sz="0" w:space="0" w:color="auto"/>
                              </w:divBdr>
                              <w:divsChild>
                                <w:div w:id="348678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0666755">
          <w:marLeft w:val="0"/>
          <w:marRight w:val="0"/>
          <w:marTop w:val="0"/>
          <w:marBottom w:val="0"/>
          <w:divBdr>
            <w:top w:val="none" w:sz="0" w:space="0" w:color="auto"/>
            <w:left w:val="none" w:sz="0" w:space="0" w:color="auto"/>
            <w:bottom w:val="none" w:sz="0" w:space="0" w:color="auto"/>
            <w:right w:val="none" w:sz="0" w:space="0" w:color="auto"/>
          </w:divBdr>
          <w:divsChild>
            <w:div w:id="266154570">
              <w:marLeft w:val="0"/>
              <w:marRight w:val="0"/>
              <w:marTop w:val="0"/>
              <w:marBottom w:val="0"/>
              <w:divBdr>
                <w:top w:val="none" w:sz="0" w:space="0" w:color="auto"/>
                <w:left w:val="none" w:sz="0" w:space="0" w:color="auto"/>
                <w:bottom w:val="none" w:sz="0" w:space="0" w:color="auto"/>
                <w:right w:val="none" w:sz="0" w:space="0" w:color="auto"/>
              </w:divBdr>
              <w:divsChild>
                <w:div w:id="788469512">
                  <w:marLeft w:val="0"/>
                  <w:marRight w:val="0"/>
                  <w:marTop w:val="0"/>
                  <w:marBottom w:val="0"/>
                  <w:divBdr>
                    <w:top w:val="none" w:sz="0" w:space="0" w:color="auto"/>
                    <w:left w:val="none" w:sz="0" w:space="0" w:color="auto"/>
                    <w:bottom w:val="none" w:sz="0" w:space="0" w:color="auto"/>
                    <w:right w:val="none" w:sz="0" w:space="0" w:color="auto"/>
                  </w:divBdr>
                  <w:divsChild>
                    <w:div w:id="1992054444">
                      <w:marLeft w:val="0"/>
                      <w:marRight w:val="0"/>
                      <w:marTop w:val="0"/>
                      <w:marBottom w:val="0"/>
                      <w:divBdr>
                        <w:top w:val="none" w:sz="0" w:space="0" w:color="auto"/>
                        <w:left w:val="none" w:sz="0" w:space="0" w:color="auto"/>
                        <w:bottom w:val="none" w:sz="0" w:space="0" w:color="auto"/>
                        <w:right w:val="none" w:sz="0" w:space="0" w:color="auto"/>
                      </w:divBdr>
                      <w:divsChild>
                        <w:div w:id="1914314871">
                          <w:marLeft w:val="0"/>
                          <w:marRight w:val="0"/>
                          <w:marTop w:val="0"/>
                          <w:marBottom w:val="0"/>
                          <w:divBdr>
                            <w:top w:val="none" w:sz="0" w:space="0" w:color="auto"/>
                            <w:left w:val="none" w:sz="0" w:space="0" w:color="auto"/>
                            <w:bottom w:val="none" w:sz="0" w:space="0" w:color="auto"/>
                            <w:right w:val="none" w:sz="0" w:space="0" w:color="auto"/>
                          </w:divBdr>
                          <w:divsChild>
                            <w:div w:id="341131909">
                              <w:marLeft w:val="0"/>
                              <w:marRight w:val="0"/>
                              <w:marTop w:val="0"/>
                              <w:marBottom w:val="0"/>
                              <w:divBdr>
                                <w:top w:val="none" w:sz="0" w:space="0" w:color="auto"/>
                                <w:left w:val="none" w:sz="0" w:space="0" w:color="auto"/>
                                <w:bottom w:val="none" w:sz="0" w:space="0" w:color="auto"/>
                                <w:right w:val="none" w:sz="0" w:space="0" w:color="auto"/>
                              </w:divBdr>
                              <w:divsChild>
                                <w:div w:id="33831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0357607">
                  <w:marLeft w:val="0"/>
                  <w:marRight w:val="0"/>
                  <w:marTop w:val="0"/>
                  <w:marBottom w:val="0"/>
                  <w:divBdr>
                    <w:top w:val="none" w:sz="0" w:space="0" w:color="auto"/>
                    <w:left w:val="none" w:sz="0" w:space="0" w:color="auto"/>
                    <w:bottom w:val="none" w:sz="0" w:space="0" w:color="auto"/>
                    <w:right w:val="none" w:sz="0" w:space="0" w:color="auto"/>
                  </w:divBdr>
                  <w:divsChild>
                    <w:div w:id="1654092878">
                      <w:marLeft w:val="0"/>
                      <w:marRight w:val="0"/>
                      <w:marTop w:val="0"/>
                      <w:marBottom w:val="0"/>
                      <w:divBdr>
                        <w:top w:val="none" w:sz="0" w:space="0" w:color="auto"/>
                        <w:left w:val="none" w:sz="0" w:space="0" w:color="auto"/>
                        <w:bottom w:val="none" w:sz="0" w:space="0" w:color="auto"/>
                        <w:right w:val="none" w:sz="0" w:space="0" w:color="auto"/>
                      </w:divBdr>
                      <w:divsChild>
                        <w:div w:id="378673550">
                          <w:marLeft w:val="0"/>
                          <w:marRight w:val="0"/>
                          <w:marTop w:val="0"/>
                          <w:marBottom w:val="0"/>
                          <w:divBdr>
                            <w:top w:val="none" w:sz="0" w:space="0" w:color="auto"/>
                            <w:left w:val="none" w:sz="0" w:space="0" w:color="auto"/>
                            <w:bottom w:val="none" w:sz="0" w:space="0" w:color="auto"/>
                            <w:right w:val="none" w:sz="0" w:space="0" w:color="auto"/>
                          </w:divBdr>
                          <w:divsChild>
                            <w:div w:id="1821725232">
                              <w:marLeft w:val="0"/>
                              <w:marRight w:val="0"/>
                              <w:marTop w:val="0"/>
                              <w:marBottom w:val="0"/>
                              <w:divBdr>
                                <w:top w:val="none" w:sz="0" w:space="0" w:color="auto"/>
                                <w:left w:val="none" w:sz="0" w:space="0" w:color="auto"/>
                                <w:bottom w:val="none" w:sz="0" w:space="0" w:color="auto"/>
                                <w:right w:val="none" w:sz="0" w:space="0" w:color="auto"/>
                              </w:divBdr>
                              <w:divsChild>
                                <w:div w:id="1588031819">
                                  <w:marLeft w:val="0"/>
                                  <w:marRight w:val="0"/>
                                  <w:marTop w:val="0"/>
                                  <w:marBottom w:val="0"/>
                                  <w:divBdr>
                                    <w:top w:val="none" w:sz="0" w:space="0" w:color="auto"/>
                                    <w:left w:val="none" w:sz="0" w:space="0" w:color="auto"/>
                                    <w:bottom w:val="none" w:sz="0" w:space="0" w:color="auto"/>
                                    <w:right w:val="none" w:sz="0" w:space="0" w:color="auto"/>
                                  </w:divBdr>
                                  <w:divsChild>
                                    <w:div w:id="64404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56634535">
          <w:marLeft w:val="0"/>
          <w:marRight w:val="0"/>
          <w:marTop w:val="0"/>
          <w:marBottom w:val="0"/>
          <w:divBdr>
            <w:top w:val="none" w:sz="0" w:space="0" w:color="auto"/>
            <w:left w:val="none" w:sz="0" w:space="0" w:color="auto"/>
            <w:bottom w:val="none" w:sz="0" w:space="0" w:color="auto"/>
            <w:right w:val="none" w:sz="0" w:space="0" w:color="auto"/>
          </w:divBdr>
          <w:divsChild>
            <w:div w:id="1066877322">
              <w:marLeft w:val="0"/>
              <w:marRight w:val="0"/>
              <w:marTop w:val="0"/>
              <w:marBottom w:val="0"/>
              <w:divBdr>
                <w:top w:val="none" w:sz="0" w:space="0" w:color="auto"/>
                <w:left w:val="none" w:sz="0" w:space="0" w:color="auto"/>
                <w:bottom w:val="none" w:sz="0" w:space="0" w:color="auto"/>
                <w:right w:val="none" w:sz="0" w:space="0" w:color="auto"/>
              </w:divBdr>
              <w:divsChild>
                <w:div w:id="84764814">
                  <w:marLeft w:val="0"/>
                  <w:marRight w:val="0"/>
                  <w:marTop w:val="0"/>
                  <w:marBottom w:val="0"/>
                  <w:divBdr>
                    <w:top w:val="none" w:sz="0" w:space="0" w:color="auto"/>
                    <w:left w:val="none" w:sz="0" w:space="0" w:color="auto"/>
                    <w:bottom w:val="none" w:sz="0" w:space="0" w:color="auto"/>
                    <w:right w:val="none" w:sz="0" w:space="0" w:color="auto"/>
                  </w:divBdr>
                  <w:divsChild>
                    <w:div w:id="1830554248">
                      <w:marLeft w:val="0"/>
                      <w:marRight w:val="0"/>
                      <w:marTop w:val="0"/>
                      <w:marBottom w:val="0"/>
                      <w:divBdr>
                        <w:top w:val="none" w:sz="0" w:space="0" w:color="auto"/>
                        <w:left w:val="none" w:sz="0" w:space="0" w:color="auto"/>
                        <w:bottom w:val="none" w:sz="0" w:space="0" w:color="auto"/>
                        <w:right w:val="none" w:sz="0" w:space="0" w:color="auto"/>
                      </w:divBdr>
                      <w:divsChild>
                        <w:div w:id="258030919">
                          <w:marLeft w:val="0"/>
                          <w:marRight w:val="0"/>
                          <w:marTop w:val="0"/>
                          <w:marBottom w:val="0"/>
                          <w:divBdr>
                            <w:top w:val="none" w:sz="0" w:space="0" w:color="auto"/>
                            <w:left w:val="none" w:sz="0" w:space="0" w:color="auto"/>
                            <w:bottom w:val="none" w:sz="0" w:space="0" w:color="auto"/>
                            <w:right w:val="none" w:sz="0" w:space="0" w:color="auto"/>
                          </w:divBdr>
                          <w:divsChild>
                            <w:div w:id="114182299">
                              <w:marLeft w:val="0"/>
                              <w:marRight w:val="0"/>
                              <w:marTop w:val="0"/>
                              <w:marBottom w:val="0"/>
                              <w:divBdr>
                                <w:top w:val="none" w:sz="0" w:space="0" w:color="auto"/>
                                <w:left w:val="none" w:sz="0" w:space="0" w:color="auto"/>
                                <w:bottom w:val="none" w:sz="0" w:space="0" w:color="auto"/>
                                <w:right w:val="none" w:sz="0" w:space="0" w:color="auto"/>
                              </w:divBdr>
                              <w:divsChild>
                                <w:div w:id="839004557">
                                  <w:marLeft w:val="0"/>
                                  <w:marRight w:val="0"/>
                                  <w:marTop w:val="0"/>
                                  <w:marBottom w:val="0"/>
                                  <w:divBdr>
                                    <w:top w:val="none" w:sz="0" w:space="0" w:color="auto"/>
                                    <w:left w:val="none" w:sz="0" w:space="0" w:color="auto"/>
                                    <w:bottom w:val="none" w:sz="0" w:space="0" w:color="auto"/>
                                    <w:right w:val="none" w:sz="0" w:space="0" w:color="auto"/>
                                  </w:divBdr>
                                  <w:divsChild>
                                    <w:div w:id="2052995517">
                                      <w:marLeft w:val="0"/>
                                      <w:marRight w:val="0"/>
                                      <w:marTop w:val="0"/>
                                      <w:marBottom w:val="0"/>
                                      <w:divBdr>
                                        <w:top w:val="none" w:sz="0" w:space="0" w:color="auto"/>
                                        <w:left w:val="none" w:sz="0" w:space="0" w:color="auto"/>
                                        <w:bottom w:val="none" w:sz="0" w:space="0" w:color="auto"/>
                                        <w:right w:val="none" w:sz="0" w:space="0" w:color="auto"/>
                                      </w:divBdr>
                                      <w:divsChild>
                                        <w:div w:id="67353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66882931">
          <w:marLeft w:val="0"/>
          <w:marRight w:val="0"/>
          <w:marTop w:val="0"/>
          <w:marBottom w:val="0"/>
          <w:divBdr>
            <w:top w:val="none" w:sz="0" w:space="0" w:color="auto"/>
            <w:left w:val="none" w:sz="0" w:space="0" w:color="auto"/>
            <w:bottom w:val="none" w:sz="0" w:space="0" w:color="auto"/>
            <w:right w:val="none" w:sz="0" w:space="0" w:color="auto"/>
          </w:divBdr>
          <w:divsChild>
            <w:div w:id="719061108">
              <w:marLeft w:val="0"/>
              <w:marRight w:val="0"/>
              <w:marTop w:val="0"/>
              <w:marBottom w:val="0"/>
              <w:divBdr>
                <w:top w:val="none" w:sz="0" w:space="0" w:color="auto"/>
                <w:left w:val="none" w:sz="0" w:space="0" w:color="auto"/>
                <w:bottom w:val="none" w:sz="0" w:space="0" w:color="auto"/>
                <w:right w:val="none" w:sz="0" w:space="0" w:color="auto"/>
              </w:divBdr>
              <w:divsChild>
                <w:div w:id="47808325">
                  <w:marLeft w:val="0"/>
                  <w:marRight w:val="0"/>
                  <w:marTop w:val="0"/>
                  <w:marBottom w:val="0"/>
                  <w:divBdr>
                    <w:top w:val="none" w:sz="0" w:space="0" w:color="auto"/>
                    <w:left w:val="none" w:sz="0" w:space="0" w:color="auto"/>
                    <w:bottom w:val="none" w:sz="0" w:space="0" w:color="auto"/>
                    <w:right w:val="none" w:sz="0" w:space="0" w:color="auto"/>
                  </w:divBdr>
                  <w:divsChild>
                    <w:div w:id="1780252661">
                      <w:marLeft w:val="0"/>
                      <w:marRight w:val="0"/>
                      <w:marTop w:val="0"/>
                      <w:marBottom w:val="0"/>
                      <w:divBdr>
                        <w:top w:val="none" w:sz="0" w:space="0" w:color="auto"/>
                        <w:left w:val="none" w:sz="0" w:space="0" w:color="auto"/>
                        <w:bottom w:val="none" w:sz="0" w:space="0" w:color="auto"/>
                        <w:right w:val="none" w:sz="0" w:space="0" w:color="auto"/>
                      </w:divBdr>
                      <w:divsChild>
                        <w:div w:id="933395808">
                          <w:marLeft w:val="0"/>
                          <w:marRight w:val="0"/>
                          <w:marTop w:val="0"/>
                          <w:marBottom w:val="0"/>
                          <w:divBdr>
                            <w:top w:val="none" w:sz="0" w:space="0" w:color="auto"/>
                            <w:left w:val="none" w:sz="0" w:space="0" w:color="auto"/>
                            <w:bottom w:val="none" w:sz="0" w:space="0" w:color="auto"/>
                            <w:right w:val="none" w:sz="0" w:space="0" w:color="auto"/>
                          </w:divBdr>
                          <w:divsChild>
                            <w:div w:id="339284661">
                              <w:marLeft w:val="0"/>
                              <w:marRight w:val="0"/>
                              <w:marTop w:val="0"/>
                              <w:marBottom w:val="0"/>
                              <w:divBdr>
                                <w:top w:val="none" w:sz="0" w:space="0" w:color="auto"/>
                                <w:left w:val="none" w:sz="0" w:space="0" w:color="auto"/>
                                <w:bottom w:val="none" w:sz="0" w:space="0" w:color="auto"/>
                                <w:right w:val="none" w:sz="0" w:space="0" w:color="auto"/>
                              </w:divBdr>
                              <w:divsChild>
                                <w:div w:id="774250549">
                                  <w:marLeft w:val="0"/>
                                  <w:marRight w:val="0"/>
                                  <w:marTop w:val="0"/>
                                  <w:marBottom w:val="0"/>
                                  <w:divBdr>
                                    <w:top w:val="none" w:sz="0" w:space="0" w:color="auto"/>
                                    <w:left w:val="none" w:sz="0" w:space="0" w:color="auto"/>
                                    <w:bottom w:val="none" w:sz="0" w:space="0" w:color="auto"/>
                                    <w:right w:val="none" w:sz="0" w:space="0" w:color="auto"/>
                                  </w:divBdr>
                                  <w:divsChild>
                                    <w:div w:id="1783648389">
                                      <w:marLeft w:val="0"/>
                                      <w:marRight w:val="0"/>
                                      <w:marTop w:val="0"/>
                                      <w:marBottom w:val="0"/>
                                      <w:divBdr>
                                        <w:top w:val="none" w:sz="0" w:space="0" w:color="auto"/>
                                        <w:left w:val="none" w:sz="0" w:space="0" w:color="auto"/>
                                        <w:bottom w:val="none" w:sz="0" w:space="0" w:color="auto"/>
                                        <w:right w:val="none" w:sz="0" w:space="0" w:color="auto"/>
                                      </w:divBdr>
                                      <w:divsChild>
                                        <w:div w:id="1371682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97915185">
          <w:marLeft w:val="0"/>
          <w:marRight w:val="0"/>
          <w:marTop w:val="0"/>
          <w:marBottom w:val="0"/>
          <w:divBdr>
            <w:top w:val="none" w:sz="0" w:space="0" w:color="auto"/>
            <w:left w:val="none" w:sz="0" w:space="0" w:color="auto"/>
            <w:bottom w:val="none" w:sz="0" w:space="0" w:color="auto"/>
            <w:right w:val="none" w:sz="0" w:space="0" w:color="auto"/>
          </w:divBdr>
          <w:divsChild>
            <w:div w:id="1135220267">
              <w:marLeft w:val="0"/>
              <w:marRight w:val="0"/>
              <w:marTop w:val="0"/>
              <w:marBottom w:val="0"/>
              <w:divBdr>
                <w:top w:val="none" w:sz="0" w:space="0" w:color="auto"/>
                <w:left w:val="none" w:sz="0" w:space="0" w:color="auto"/>
                <w:bottom w:val="none" w:sz="0" w:space="0" w:color="auto"/>
                <w:right w:val="none" w:sz="0" w:space="0" w:color="auto"/>
              </w:divBdr>
              <w:divsChild>
                <w:div w:id="692147342">
                  <w:marLeft w:val="0"/>
                  <w:marRight w:val="0"/>
                  <w:marTop w:val="0"/>
                  <w:marBottom w:val="0"/>
                  <w:divBdr>
                    <w:top w:val="none" w:sz="0" w:space="0" w:color="auto"/>
                    <w:left w:val="none" w:sz="0" w:space="0" w:color="auto"/>
                    <w:bottom w:val="none" w:sz="0" w:space="0" w:color="auto"/>
                    <w:right w:val="none" w:sz="0" w:space="0" w:color="auto"/>
                  </w:divBdr>
                  <w:divsChild>
                    <w:div w:id="2010400504">
                      <w:marLeft w:val="0"/>
                      <w:marRight w:val="0"/>
                      <w:marTop w:val="0"/>
                      <w:marBottom w:val="0"/>
                      <w:divBdr>
                        <w:top w:val="none" w:sz="0" w:space="0" w:color="auto"/>
                        <w:left w:val="none" w:sz="0" w:space="0" w:color="auto"/>
                        <w:bottom w:val="none" w:sz="0" w:space="0" w:color="auto"/>
                        <w:right w:val="none" w:sz="0" w:space="0" w:color="auto"/>
                      </w:divBdr>
                      <w:divsChild>
                        <w:div w:id="304705700">
                          <w:marLeft w:val="0"/>
                          <w:marRight w:val="0"/>
                          <w:marTop w:val="0"/>
                          <w:marBottom w:val="0"/>
                          <w:divBdr>
                            <w:top w:val="none" w:sz="0" w:space="0" w:color="auto"/>
                            <w:left w:val="none" w:sz="0" w:space="0" w:color="auto"/>
                            <w:bottom w:val="none" w:sz="0" w:space="0" w:color="auto"/>
                            <w:right w:val="none" w:sz="0" w:space="0" w:color="auto"/>
                          </w:divBdr>
                          <w:divsChild>
                            <w:div w:id="759184312">
                              <w:marLeft w:val="0"/>
                              <w:marRight w:val="0"/>
                              <w:marTop w:val="0"/>
                              <w:marBottom w:val="0"/>
                              <w:divBdr>
                                <w:top w:val="none" w:sz="0" w:space="0" w:color="auto"/>
                                <w:left w:val="none" w:sz="0" w:space="0" w:color="auto"/>
                                <w:bottom w:val="none" w:sz="0" w:space="0" w:color="auto"/>
                                <w:right w:val="none" w:sz="0" w:space="0" w:color="auto"/>
                              </w:divBdr>
                              <w:divsChild>
                                <w:div w:id="122045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5774370">
                  <w:marLeft w:val="0"/>
                  <w:marRight w:val="0"/>
                  <w:marTop w:val="0"/>
                  <w:marBottom w:val="0"/>
                  <w:divBdr>
                    <w:top w:val="none" w:sz="0" w:space="0" w:color="auto"/>
                    <w:left w:val="none" w:sz="0" w:space="0" w:color="auto"/>
                    <w:bottom w:val="none" w:sz="0" w:space="0" w:color="auto"/>
                    <w:right w:val="none" w:sz="0" w:space="0" w:color="auto"/>
                  </w:divBdr>
                  <w:divsChild>
                    <w:div w:id="1617251846">
                      <w:marLeft w:val="0"/>
                      <w:marRight w:val="0"/>
                      <w:marTop w:val="0"/>
                      <w:marBottom w:val="0"/>
                      <w:divBdr>
                        <w:top w:val="none" w:sz="0" w:space="0" w:color="auto"/>
                        <w:left w:val="none" w:sz="0" w:space="0" w:color="auto"/>
                        <w:bottom w:val="none" w:sz="0" w:space="0" w:color="auto"/>
                        <w:right w:val="none" w:sz="0" w:space="0" w:color="auto"/>
                      </w:divBdr>
                      <w:divsChild>
                        <w:div w:id="1460300079">
                          <w:marLeft w:val="0"/>
                          <w:marRight w:val="0"/>
                          <w:marTop w:val="0"/>
                          <w:marBottom w:val="0"/>
                          <w:divBdr>
                            <w:top w:val="none" w:sz="0" w:space="0" w:color="auto"/>
                            <w:left w:val="none" w:sz="0" w:space="0" w:color="auto"/>
                            <w:bottom w:val="none" w:sz="0" w:space="0" w:color="auto"/>
                            <w:right w:val="none" w:sz="0" w:space="0" w:color="auto"/>
                          </w:divBdr>
                          <w:divsChild>
                            <w:div w:id="465977077">
                              <w:marLeft w:val="0"/>
                              <w:marRight w:val="0"/>
                              <w:marTop w:val="0"/>
                              <w:marBottom w:val="0"/>
                              <w:divBdr>
                                <w:top w:val="none" w:sz="0" w:space="0" w:color="auto"/>
                                <w:left w:val="none" w:sz="0" w:space="0" w:color="auto"/>
                                <w:bottom w:val="none" w:sz="0" w:space="0" w:color="auto"/>
                                <w:right w:val="none" w:sz="0" w:space="0" w:color="auto"/>
                              </w:divBdr>
                              <w:divsChild>
                                <w:div w:id="1565943756">
                                  <w:marLeft w:val="0"/>
                                  <w:marRight w:val="0"/>
                                  <w:marTop w:val="0"/>
                                  <w:marBottom w:val="0"/>
                                  <w:divBdr>
                                    <w:top w:val="none" w:sz="0" w:space="0" w:color="auto"/>
                                    <w:left w:val="none" w:sz="0" w:space="0" w:color="auto"/>
                                    <w:bottom w:val="none" w:sz="0" w:space="0" w:color="auto"/>
                                    <w:right w:val="none" w:sz="0" w:space="0" w:color="auto"/>
                                  </w:divBdr>
                                  <w:divsChild>
                                    <w:div w:id="1916940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02672876">
          <w:marLeft w:val="0"/>
          <w:marRight w:val="0"/>
          <w:marTop w:val="0"/>
          <w:marBottom w:val="0"/>
          <w:divBdr>
            <w:top w:val="none" w:sz="0" w:space="0" w:color="auto"/>
            <w:left w:val="none" w:sz="0" w:space="0" w:color="auto"/>
            <w:bottom w:val="none" w:sz="0" w:space="0" w:color="auto"/>
            <w:right w:val="none" w:sz="0" w:space="0" w:color="auto"/>
          </w:divBdr>
          <w:divsChild>
            <w:div w:id="60100819">
              <w:marLeft w:val="0"/>
              <w:marRight w:val="0"/>
              <w:marTop w:val="0"/>
              <w:marBottom w:val="0"/>
              <w:divBdr>
                <w:top w:val="none" w:sz="0" w:space="0" w:color="auto"/>
                <w:left w:val="none" w:sz="0" w:space="0" w:color="auto"/>
                <w:bottom w:val="none" w:sz="0" w:space="0" w:color="auto"/>
                <w:right w:val="none" w:sz="0" w:space="0" w:color="auto"/>
              </w:divBdr>
              <w:divsChild>
                <w:div w:id="201602172">
                  <w:marLeft w:val="0"/>
                  <w:marRight w:val="0"/>
                  <w:marTop w:val="0"/>
                  <w:marBottom w:val="0"/>
                  <w:divBdr>
                    <w:top w:val="none" w:sz="0" w:space="0" w:color="auto"/>
                    <w:left w:val="none" w:sz="0" w:space="0" w:color="auto"/>
                    <w:bottom w:val="none" w:sz="0" w:space="0" w:color="auto"/>
                    <w:right w:val="none" w:sz="0" w:space="0" w:color="auto"/>
                  </w:divBdr>
                  <w:divsChild>
                    <w:div w:id="803474530">
                      <w:marLeft w:val="0"/>
                      <w:marRight w:val="0"/>
                      <w:marTop w:val="0"/>
                      <w:marBottom w:val="0"/>
                      <w:divBdr>
                        <w:top w:val="none" w:sz="0" w:space="0" w:color="auto"/>
                        <w:left w:val="none" w:sz="0" w:space="0" w:color="auto"/>
                        <w:bottom w:val="none" w:sz="0" w:space="0" w:color="auto"/>
                        <w:right w:val="none" w:sz="0" w:space="0" w:color="auto"/>
                      </w:divBdr>
                      <w:divsChild>
                        <w:div w:id="407189589">
                          <w:marLeft w:val="0"/>
                          <w:marRight w:val="0"/>
                          <w:marTop w:val="0"/>
                          <w:marBottom w:val="0"/>
                          <w:divBdr>
                            <w:top w:val="none" w:sz="0" w:space="0" w:color="auto"/>
                            <w:left w:val="none" w:sz="0" w:space="0" w:color="auto"/>
                            <w:bottom w:val="none" w:sz="0" w:space="0" w:color="auto"/>
                            <w:right w:val="none" w:sz="0" w:space="0" w:color="auto"/>
                          </w:divBdr>
                          <w:divsChild>
                            <w:div w:id="1933006261">
                              <w:marLeft w:val="0"/>
                              <w:marRight w:val="0"/>
                              <w:marTop w:val="0"/>
                              <w:marBottom w:val="0"/>
                              <w:divBdr>
                                <w:top w:val="none" w:sz="0" w:space="0" w:color="auto"/>
                                <w:left w:val="none" w:sz="0" w:space="0" w:color="auto"/>
                                <w:bottom w:val="none" w:sz="0" w:space="0" w:color="auto"/>
                                <w:right w:val="none" w:sz="0" w:space="0" w:color="auto"/>
                              </w:divBdr>
                              <w:divsChild>
                                <w:div w:id="1499535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6520668">
                  <w:marLeft w:val="0"/>
                  <w:marRight w:val="0"/>
                  <w:marTop w:val="0"/>
                  <w:marBottom w:val="0"/>
                  <w:divBdr>
                    <w:top w:val="none" w:sz="0" w:space="0" w:color="auto"/>
                    <w:left w:val="none" w:sz="0" w:space="0" w:color="auto"/>
                    <w:bottom w:val="none" w:sz="0" w:space="0" w:color="auto"/>
                    <w:right w:val="none" w:sz="0" w:space="0" w:color="auto"/>
                  </w:divBdr>
                  <w:divsChild>
                    <w:div w:id="212276323">
                      <w:marLeft w:val="0"/>
                      <w:marRight w:val="0"/>
                      <w:marTop w:val="0"/>
                      <w:marBottom w:val="0"/>
                      <w:divBdr>
                        <w:top w:val="none" w:sz="0" w:space="0" w:color="auto"/>
                        <w:left w:val="none" w:sz="0" w:space="0" w:color="auto"/>
                        <w:bottom w:val="none" w:sz="0" w:space="0" w:color="auto"/>
                        <w:right w:val="none" w:sz="0" w:space="0" w:color="auto"/>
                      </w:divBdr>
                      <w:divsChild>
                        <w:div w:id="1792898593">
                          <w:marLeft w:val="0"/>
                          <w:marRight w:val="0"/>
                          <w:marTop w:val="0"/>
                          <w:marBottom w:val="0"/>
                          <w:divBdr>
                            <w:top w:val="none" w:sz="0" w:space="0" w:color="auto"/>
                            <w:left w:val="none" w:sz="0" w:space="0" w:color="auto"/>
                            <w:bottom w:val="none" w:sz="0" w:space="0" w:color="auto"/>
                            <w:right w:val="none" w:sz="0" w:space="0" w:color="auto"/>
                          </w:divBdr>
                          <w:divsChild>
                            <w:div w:id="37093866">
                              <w:marLeft w:val="0"/>
                              <w:marRight w:val="0"/>
                              <w:marTop w:val="0"/>
                              <w:marBottom w:val="0"/>
                              <w:divBdr>
                                <w:top w:val="none" w:sz="0" w:space="0" w:color="auto"/>
                                <w:left w:val="none" w:sz="0" w:space="0" w:color="auto"/>
                                <w:bottom w:val="none" w:sz="0" w:space="0" w:color="auto"/>
                                <w:right w:val="none" w:sz="0" w:space="0" w:color="auto"/>
                              </w:divBdr>
                              <w:divsChild>
                                <w:div w:id="761953062">
                                  <w:marLeft w:val="0"/>
                                  <w:marRight w:val="0"/>
                                  <w:marTop w:val="0"/>
                                  <w:marBottom w:val="0"/>
                                  <w:divBdr>
                                    <w:top w:val="none" w:sz="0" w:space="0" w:color="auto"/>
                                    <w:left w:val="none" w:sz="0" w:space="0" w:color="auto"/>
                                    <w:bottom w:val="none" w:sz="0" w:space="0" w:color="auto"/>
                                    <w:right w:val="none" w:sz="0" w:space="0" w:color="auto"/>
                                  </w:divBdr>
                                  <w:divsChild>
                                    <w:div w:id="37331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23770547">
      <w:bodyDiv w:val="1"/>
      <w:marLeft w:val="0"/>
      <w:marRight w:val="0"/>
      <w:marTop w:val="0"/>
      <w:marBottom w:val="0"/>
      <w:divBdr>
        <w:top w:val="none" w:sz="0" w:space="0" w:color="auto"/>
        <w:left w:val="none" w:sz="0" w:space="0" w:color="auto"/>
        <w:bottom w:val="none" w:sz="0" w:space="0" w:color="auto"/>
        <w:right w:val="none" w:sz="0" w:space="0" w:color="auto"/>
      </w:divBdr>
    </w:div>
    <w:div w:id="1192569875">
      <w:bodyDiv w:val="1"/>
      <w:marLeft w:val="0"/>
      <w:marRight w:val="0"/>
      <w:marTop w:val="0"/>
      <w:marBottom w:val="0"/>
      <w:divBdr>
        <w:top w:val="none" w:sz="0" w:space="0" w:color="auto"/>
        <w:left w:val="none" w:sz="0" w:space="0" w:color="auto"/>
        <w:bottom w:val="none" w:sz="0" w:space="0" w:color="auto"/>
        <w:right w:val="none" w:sz="0" w:space="0" w:color="auto"/>
      </w:divBdr>
    </w:div>
    <w:div w:id="1218971374">
      <w:bodyDiv w:val="1"/>
      <w:marLeft w:val="0"/>
      <w:marRight w:val="0"/>
      <w:marTop w:val="0"/>
      <w:marBottom w:val="0"/>
      <w:divBdr>
        <w:top w:val="none" w:sz="0" w:space="0" w:color="auto"/>
        <w:left w:val="none" w:sz="0" w:space="0" w:color="auto"/>
        <w:bottom w:val="none" w:sz="0" w:space="0" w:color="auto"/>
        <w:right w:val="none" w:sz="0" w:space="0" w:color="auto"/>
      </w:divBdr>
    </w:div>
    <w:div w:id="1240217077">
      <w:bodyDiv w:val="1"/>
      <w:marLeft w:val="0"/>
      <w:marRight w:val="0"/>
      <w:marTop w:val="0"/>
      <w:marBottom w:val="0"/>
      <w:divBdr>
        <w:top w:val="none" w:sz="0" w:space="0" w:color="auto"/>
        <w:left w:val="none" w:sz="0" w:space="0" w:color="auto"/>
        <w:bottom w:val="none" w:sz="0" w:space="0" w:color="auto"/>
        <w:right w:val="none" w:sz="0" w:space="0" w:color="auto"/>
      </w:divBdr>
    </w:div>
    <w:div w:id="1254894325">
      <w:bodyDiv w:val="1"/>
      <w:marLeft w:val="0"/>
      <w:marRight w:val="0"/>
      <w:marTop w:val="0"/>
      <w:marBottom w:val="0"/>
      <w:divBdr>
        <w:top w:val="none" w:sz="0" w:space="0" w:color="auto"/>
        <w:left w:val="none" w:sz="0" w:space="0" w:color="auto"/>
        <w:bottom w:val="none" w:sz="0" w:space="0" w:color="auto"/>
        <w:right w:val="none" w:sz="0" w:space="0" w:color="auto"/>
      </w:divBdr>
      <w:divsChild>
        <w:div w:id="1688676670">
          <w:marLeft w:val="0"/>
          <w:marRight w:val="0"/>
          <w:marTop w:val="0"/>
          <w:marBottom w:val="0"/>
          <w:divBdr>
            <w:top w:val="none" w:sz="0" w:space="0" w:color="auto"/>
            <w:left w:val="none" w:sz="0" w:space="0" w:color="auto"/>
            <w:bottom w:val="none" w:sz="0" w:space="0" w:color="auto"/>
            <w:right w:val="none" w:sz="0" w:space="0" w:color="auto"/>
          </w:divBdr>
          <w:divsChild>
            <w:div w:id="1849981549">
              <w:marLeft w:val="0"/>
              <w:marRight w:val="0"/>
              <w:marTop w:val="0"/>
              <w:marBottom w:val="0"/>
              <w:divBdr>
                <w:top w:val="none" w:sz="0" w:space="0" w:color="auto"/>
                <w:left w:val="none" w:sz="0" w:space="0" w:color="auto"/>
                <w:bottom w:val="none" w:sz="0" w:space="0" w:color="auto"/>
                <w:right w:val="none" w:sz="0" w:space="0" w:color="auto"/>
              </w:divBdr>
              <w:divsChild>
                <w:div w:id="743331322">
                  <w:marLeft w:val="0"/>
                  <w:marRight w:val="0"/>
                  <w:marTop w:val="0"/>
                  <w:marBottom w:val="0"/>
                  <w:divBdr>
                    <w:top w:val="none" w:sz="0" w:space="0" w:color="auto"/>
                    <w:left w:val="none" w:sz="0" w:space="0" w:color="auto"/>
                    <w:bottom w:val="none" w:sz="0" w:space="0" w:color="auto"/>
                    <w:right w:val="none" w:sz="0" w:space="0" w:color="auto"/>
                  </w:divBdr>
                  <w:divsChild>
                    <w:div w:id="1103574464">
                      <w:marLeft w:val="0"/>
                      <w:marRight w:val="0"/>
                      <w:marTop w:val="0"/>
                      <w:marBottom w:val="0"/>
                      <w:divBdr>
                        <w:top w:val="none" w:sz="0" w:space="0" w:color="auto"/>
                        <w:left w:val="none" w:sz="0" w:space="0" w:color="auto"/>
                        <w:bottom w:val="none" w:sz="0" w:space="0" w:color="auto"/>
                        <w:right w:val="none" w:sz="0" w:space="0" w:color="auto"/>
                      </w:divBdr>
                      <w:divsChild>
                        <w:div w:id="597951900">
                          <w:marLeft w:val="0"/>
                          <w:marRight w:val="0"/>
                          <w:marTop w:val="0"/>
                          <w:marBottom w:val="0"/>
                          <w:divBdr>
                            <w:top w:val="none" w:sz="0" w:space="0" w:color="auto"/>
                            <w:left w:val="none" w:sz="0" w:space="0" w:color="auto"/>
                            <w:bottom w:val="none" w:sz="0" w:space="0" w:color="auto"/>
                            <w:right w:val="none" w:sz="0" w:space="0" w:color="auto"/>
                          </w:divBdr>
                          <w:divsChild>
                            <w:div w:id="258410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7709246">
      <w:bodyDiv w:val="1"/>
      <w:marLeft w:val="0"/>
      <w:marRight w:val="0"/>
      <w:marTop w:val="0"/>
      <w:marBottom w:val="0"/>
      <w:divBdr>
        <w:top w:val="none" w:sz="0" w:space="0" w:color="auto"/>
        <w:left w:val="none" w:sz="0" w:space="0" w:color="auto"/>
        <w:bottom w:val="none" w:sz="0" w:space="0" w:color="auto"/>
        <w:right w:val="none" w:sz="0" w:space="0" w:color="auto"/>
      </w:divBdr>
    </w:div>
    <w:div w:id="1299191792">
      <w:bodyDiv w:val="1"/>
      <w:marLeft w:val="0"/>
      <w:marRight w:val="0"/>
      <w:marTop w:val="0"/>
      <w:marBottom w:val="0"/>
      <w:divBdr>
        <w:top w:val="none" w:sz="0" w:space="0" w:color="auto"/>
        <w:left w:val="none" w:sz="0" w:space="0" w:color="auto"/>
        <w:bottom w:val="none" w:sz="0" w:space="0" w:color="auto"/>
        <w:right w:val="none" w:sz="0" w:space="0" w:color="auto"/>
      </w:divBdr>
    </w:div>
    <w:div w:id="1308317466">
      <w:bodyDiv w:val="1"/>
      <w:marLeft w:val="0"/>
      <w:marRight w:val="0"/>
      <w:marTop w:val="0"/>
      <w:marBottom w:val="0"/>
      <w:divBdr>
        <w:top w:val="none" w:sz="0" w:space="0" w:color="auto"/>
        <w:left w:val="none" w:sz="0" w:space="0" w:color="auto"/>
        <w:bottom w:val="none" w:sz="0" w:space="0" w:color="auto"/>
        <w:right w:val="none" w:sz="0" w:space="0" w:color="auto"/>
      </w:divBdr>
    </w:div>
    <w:div w:id="1329166274">
      <w:bodyDiv w:val="1"/>
      <w:marLeft w:val="0"/>
      <w:marRight w:val="0"/>
      <w:marTop w:val="0"/>
      <w:marBottom w:val="0"/>
      <w:divBdr>
        <w:top w:val="none" w:sz="0" w:space="0" w:color="auto"/>
        <w:left w:val="none" w:sz="0" w:space="0" w:color="auto"/>
        <w:bottom w:val="none" w:sz="0" w:space="0" w:color="auto"/>
        <w:right w:val="none" w:sz="0" w:space="0" w:color="auto"/>
      </w:divBdr>
    </w:div>
    <w:div w:id="1355889030">
      <w:bodyDiv w:val="1"/>
      <w:marLeft w:val="0"/>
      <w:marRight w:val="0"/>
      <w:marTop w:val="0"/>
      <w:marBottom w:val="0"/>
      <w:divBdr>
        <w:top w:val="none" w:sz="0" w:space="0" w:color="auto"/>
        <w:left w:val="none" w:sz="0" w:space="0" w:color="auto"/>
        <w:bottom w:val="none" w:sz="0" w:space="0" w:color="auto"/>
        <w:right w:val="none" w:sz="0" w:space="0" w:color="auto"/>
      </w:divBdr>
    </w:div>
    <w:div w:id="1418943211">
      <w:bodyDiv w:val="1"/>
      <w:marLeft w:val="0"/>
      <w:marRight w:val="0"/>
      <w:marTop w:val="0"/>
      <w:marBottom w:val="0"/>
      <w:divBdr>
        <w:top w:val="none" w:sz="0" w:space="0" w:color="auto"/>
        <w:left w:val="none" w:sz="0" w:space="0" w:color="auto"/>
        <w:bottom w:val="none" w:sz="0" w:space="0" w:color="auto"/>
        <w:right w:val="none" w:sz="0" w:space="0" w:color="auto"/>
      </w:divBdr>
    </w:div>
    <w:div w:id="1462504531">
      <w:bodyDiv w:val="1"/>
      <w:marLeft w:val="0"/>
      <w:marRight w:val="0"/>
      <w:marTop w:val="0"/>
      <w:marBottom w:val="0"/>
      <w:divBdr>
        <w:top w:val="none" w:sz="0" w:space="0" w:color="auto"/>
        <w:left w:val="none" w:sz="0" w:space="0" w:color="auto"/>
        <w:bottom w:val="none" w:sz="0" w:space="0" w:color="auto"/>
        <w:right w:val="none" w:sz="0" w:space="0" w:color="auto"/>
      </w:divBdr>
    </w:div>
    <w:div w:id="1479492648">
      <w:bodyDiv w:val="1"/>
      <w:marLeft w:val="0"/>
      <w:marRight w:val="0"/>
      <w:marTop w:val="0"/>
      <w:marBottom w:val="0"/>
      <w:divBdr>
        <w:top w:val="none" w:sz="0" w:space="0" w:color="auto"/>
        <w:left w:val="none" w:sz="0" w:space="0" w:color="auto"/>
        <w:bottom w:val="none" w:sz="0" w:space="0" w:color="auto"/>
        <w:right w:val="none" w:sz="0" w:space="0" w:color="auto"/>
      </w:divBdr>
      <w:divsChild>
        <w:div w:id="53939614">
          <w:marLeft w:val="0"/>
          <w:marRight w:val="0"/>
          <w:marTop w:val="0"/>
          <w:marBottom w:val="0"/>
          <w:divBdr>
            <w:top w:val="none" w:sz="0" w:space="0" w:color="auto"/>
            <w:left w:val="none" w:sz="0" w:space="0" w:color="auto"/>
            <w:bottom w:val="none" w:sz="0" w:space="0" w:color="auto"/>
            <w:right w:val="none" w:sz="0" w:space="0" w:color="auto"/>
          </w:divBdr>
        </w:div>
        <w:div w:id="1692029513">
          <w:marLeft w:val="0"/>
          <w:marRight w:val="0"/>
          <w:marTop w:val="0"/>
          <w:marBottom w:val="0"/>
          <w:divBdr>
            <w:top w:val="none" w:sz="0" w:space="0" w:color="auto"/>
            <w:left w:val="none" w:sz="0" w:space="0" w:color="auto"/>
            <w:bottom w:val="none" w:sz="0" w:space="0" w:color="auto"/>
            <w:right w:val="none" w:sz="0" w:space="0" w:color="auto"/>
          </w:divBdr>
        </w:div>
      </w:divsChild>
    </w:div>
    <w:div w:id="1523283134">
      <w:bodyDiv w:val="1"/>
      <w:marLeft w:val="0"/>
      <w:marRight w:val="0"/>
      <w:marTop w:val="0"/>
      <w:marBottom w:val="0"/>
      <w:divBdr>
        <w:top w:val="none" w:sz="0" w:space="0" w:color="auto"/>
        <w:left w:val="none" w:sz="0" w:space="0" w:color="auto"/>
        <w:bottom w:val="none" w:sz="0" w:space="0" w:color="auto"/>
        <w:right w:val="none" w:sz="0" w:space="0" w:color="auto"/>
      </w:divBdr>
    </w:div>
    <w:div w:id="1552108830">
      <w:bodyDiv w:val="1"/>
      <w:marLeft w:val="0"/>
      <w:marRight w:val="0"/>
      <w:marTop w:val="0"/>
      <w:marBottom w:val="0"/>
      <w:divBdr>
        <w:top w:val="none" w:sz="0" w:space="0" w:color="auto"/>
        <w:left w:val="none" w:sz="0" w:space="0" w:color="auto"/>
        <w:bottom w:val="none" w:sz="0" w:space="0" w:color="auto"/>
        <w:right w:val="none" w:sz="0" w:space="0" w:color="auto"/>
      </w:divBdr>
    </w:div>
    <w:div w:id="1566913390">
      <w:bodyDiv w:val="1"/>
      <w:marLeft w:val="0"/>
      <w:marRight w:val="0"/>
      <w:marTop w:val="0"/>
      <w:marBottom w:val="0"/>
      <w:divBdr>
        <w:top w:val="none" w:sz="0" w:space="0" w:color="auto"/>
        <w:left w:val="none" w:sz="0" w:space="0" w:color="auto"/>
        <w:bottom w:val="none" w:sz="0" w:space="0" w:color="auto"/>
        <w:right w:val="none" w:sz="0" w:space="0" w:color="auto"/>
      </w:divBdr>
    </w:div>
    <w:div w:id="1582062703">
      <w:bodyDiv w:val="1"/>
      <w:marLeft w:val="0"/>
      <w:marRight w:val="0"/>
      <w:marTop w:val="0"/>
      <w:marBottom w:val="0"/>
      <w:divBdr>
        <w:top w:val="none" w:sz="0" w:space="0" w:color="auto"/>
        <w:left w:val="none" w:sz="0" w:space="0" w:color="auto"/>
        <w:bottom w:val="none" w:sz="0" w:space="0" w:color="auto"/>
        <w:right w:val="none" w:sz="0" w:space="0" w:color="auto"/>
      </w:divBdr>
    </w:div>
    <w:div w:id="1591695651">
      <w:bodyDiv w:val="1"/>
      <w:marLeft w:val="0"/>
      <w:marRight w:val="0"/>
      <w:marTop w:val="0"/>
      <w:marBottom w:val="0"/>
      <w:divBdr>
        <w:top w:val="none" w:sz="0" w:space="0" w:color="auto"/>
        <w:left w:val="none" w:sz="0" w:space="0" w:color="auto"/>
        <w:bottom w:val="none" w:sz="0" w:space="0" w:color="auto"/>
        <w:right w:val="none" w:sz="0" w:space="0" w:color="auto"/>
      </w:divBdr>
    </w:div>
    <w:div w:id="1623533105">
      <w:bodyDiv w:val="1"/>
      <w:marLeft w:val="0"/>
      <w:marRight w:val="0"/>
      <w:marTop w:val="0"/>
      <w:marBottom w:val="0"/>
      <w:divBdr>
        <w:top w:val="none" w:sz="0" w:space="0" w:color="auto"/>
        <w:left w:val="none" w:sz="0" w:space="0" w:color="auto"/>
        <w:bottom w:val="none" w:sz="0" w:space="0" w:color="auto"/>
        <w:right w:val="none" w:sz="0" w:space="0" w:color="auto"/>
      </w:divBdr>
      <w:divsChild>
        <w:div w:id="180749408">
          <w:marLeft w:val="0"/>
          <w:marRight w:val="0"/>
          <w:marTop w:val="0"/>
          <w:marBottom w:val="0"/>
          <w:divBdr>
            <w:top w:val="none" w:sz="0" w:space="0" w:color="auto"/>
            <w:left w:val="none" w:sz="0" w:space="0" w:color="auto"/>
            <w:bottom w:val="none" w:sz="0" w:space="0" w:color="auto"/>
            <w:right w:val="none" w:sz="0" w:space="0" w:color="auto"/>
          </w:divBdr>
          <w:divsChild>
            <w:div w:id="1934389379">
              <w:marLeft w:val="0"/>
              <w:marRight w:val="0"/>
              <w:marTop w:val="0"/>
              <w:marBottom w:val="0"/>
              <w:divBdr>
                <w:top w:val="none" w:sz="0" w:space="0" w:color="auto"/>
                <w:left w:val="none" w:sz="0" w:space="0" w:color="auto"/>
                <w:bottom w:val="none" w:sz="0" w:space="0" w:color="auto"/>
                <w:right w:val="none" w:sz="0" w:space="0" w:color="auto"/>
              </w:divBdr>
              <w:divsChild>
                <w:div w:id="1986349501">
                  <w:marLeft w:val="0"/>
                  <w:marRight w:val="0"/>
                  <w:marTop w:val="0"/>
                  <w:marBottom w:val="0"/>
                  <w:divBdr>
                    <w:top w:val="none" w:sz="0" w:space="0" w:color="auto"/>
                    <w:left w:val="none" w:sz="0" w:space="0" w:color="auto"/>
                    <w:bottom w:val="none" w:sz="0" w:space="0" w:color="auto"/>
                    <w:right w:val="none" w:sz="0" w:space="0" w:color="auto"/>
                  </w:divBdr>
                  <w:divsChild>
                    <w:div w:id="1861241280">
                      <w:marLeft w:val="0"/>
                      <w:marRight w:val="0"/>
                      <w:marTop w:val="0"/>
                      <w:marBottom w:val="0"/>
                      <w:divBdr>
                        <w:top w:val="none" w:sz="0" w:space="0" w:color="auto"/>
                        <w:left w:val="none" w:sz="0" w:space="0" w:color="auto"/>
                        <w:bottom w:val="none" w:sz="0" w:space="0" w:color="auto"/>
                        <w:right w:val="none" w:sz="0" w:space="0" w:color="auto"/>
                      </w:divBdr>
                      <w:divsChild>
                        <w:div w:id="1728449536">
                          <w:marLeft w:val="0"/>
                          <w:marRight w:val="0"/>
                          <w:marTop w:val="0"/>
                          <w:marBottom w:val="0"/>
                          <w:divBdr>
                            <w:top w:val="none" w:sz="0" w:space="0" w:color="auto"/>
                            <w:left w:val="none" w:sz="0" w:space="0" w:color="auto"/>
                            <w:bottom w:val="none" w:sz="0" w:space="0" w:color="auto"/>
                            <w:right w:val="none" w:sz="0" w:space="0" w:color="auto"/>
                          </w:divBdr>
                          <w:divsChild>
                            <w:div w:id="1745254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52560762">
      <w:bodyDiv w:val="1"/>
      <w:marLeft w:val="0"/>
      <w:marRight w:val="0"/>
      <w:marTop w:val="0"/>
      <w:marBottom w:val="0"/>
      <w:divBdr>
        <w:top w:val="none" w:sz="0" w:space="0" w:color="auto"/>
        <w:left w:val="none" w:sz="0" w:space="0" w:color="auto"/>
        <w:bottom w:val="none" w:sz="0" w:space="0" w:color="auto"/>
        <w:right w:val="none" w:sz="0" w:space="0" w:color="auto"/>
      </w:divBdr>
    </w:div>
    <w:div w:id="1705864511">
      <w:bodyDiv w:val="1"/>
      <w:marLeft w:val="0"/>
      <w:marRight w:val="0"/>
      <w:marTop w:val="0"/>
      <w:marBottom w:val="0"/>
      <w:divBdr>
        <w:top w:val="none" w:sz="0" w:space="0" w:color="auto"/>
        <w:left w:val="none" w:sz="0" w:space="0" w:color="auto"/>
        <w:bottom w:val="none" w:sz="0" w:space="0" w:color="auto"/>
        <w:right w:val="none" w:sz="0" w:space="0" w:color="auto"/>
      </w:divBdr>
    </w:div>
    <w:div w:id="1723208373">
      <w:bodyDiv w:val="1"/>
      <w:marLeft w:val="0"/>
      <w:marRight w:val="0"/>
      <w:marTop w:val="0"/>
      <w:marBottom w:val="0"/>
      <w:divBdr>
        <w:top w:val="none" w:sz="0" w:space="0" w:color="auto"/>
        <w:left w:val="none" w:sz="0" w:space="0" w:color="auto"/>
        <w:bottom w:val="none" w:sz="0" w:space="0" w:color="auto"/>
        <w:right w:val="none" w:sz="0" w:space="0" w:color="auto"/>
      </w:divBdr>
    </w:div>
    <w:div w:id="1746025578">
      <w:bodyDiv w:val="1"/>
      <w:marLeft w:val="0"/>
      <w:marRight w:val="0"/>
      <w:marTop w:val="0"/>
      <w:marBottom w:val="0"/>
      <w:divBdr>
        <w:top w:val="none" w:sz="0" w:space="0" w:color="auto"/>
        <w:left w:val="none" w:sz="0" w:space="0" w:color="auto"/>
        <w:bottom w:val="none" w:sz="0" w:space="0" w:color="auto"/>
        <w:right w:val="none" w:sz="0" w:space="0" w:color="auto"/>
      </w:divBdr>
    </w:div>
    <w:div w:id="1782529160">
      <w:bodyDiv w:val="1"/>
      <w:marLeft w:val="0"/>
      <w:marRight w:val="0"/>
      <w:marTop w:val="0"/>
      <w:marBottom w:val="0"/>
      <w:divBdr>
        <w:top w:val="none" w:sz="0" w:space="0" w:color="auto"/>
        <w:left w:val="none" w:sz="0" w:space="0" w:color="auto"/>
        <w:bottom w:val="none" w:sz="0" w:space="0" w:color="auto"/>
        <w:right w:val="none" w:sz="0" w:space="0" w:color="auto"/>
      </w:divBdr>
    </w:div>
    <w:div w:id="1783380337">
      <w:bodyDiv w:val="1"/>
      <w:marLeft w:val="0"/>
      <w:marRight w:val="0"/>
      <w:marTop w:val="0"/>
      <w:marBottom w:val="0"/>
      <w:divBdr>
        <w:top w:val="none" w:sz="0" w:space="0" w:color="auto"/>
        <w:left w:val="none" w:sz="0" w:space="0" w:color="auto"/>
        <w:bottom w:val="none" w:sz="0" w:space="0" w:color="auto"/>
        <w:right w:val="none" w:sz="0" w:space="0" w:color="auto"/>
      </w:divBdr>
      <w:divsChild>
        <w:div w:id="32968648">
          <w:marLeft w:val="0"/>
          <w:marRight w:val="0"/>
          <w:marTop w:val="0"/>
          <w:marBottom w:val="0"/>
          <w:divBdr>
            <w:top w:val="none" w:sz="0" w:space="0" w:color="auto"/>
            <w:left w:val="none" w:sz="0" w:space="0" w:color="auto"/>
            <w:bottom w:val="none" w:sz="0" w:space="0" w:color="auto"/>
            <w:right w:val="none" w:sz="0" w:space="0" w:color="auto"/>
          </w:divBdr>
          <w:divsChild>
            <w:div w:id="850140586">
              <w:marLeft w:val="0"/>
              <w:marRight w:val="0"/>
              <w:marTop w:val="0"/>
              <w:marBottom w:val="0"/>
              <w:divBdr>
                <w:top w:val="none" w:sz="0" w:space="0" w:color="auto"/>
                <w:left w:val="none" w:sz="0" w:space="0" w:color="auto"/>
                <w:bottom w:val="none" w:sz="0" w:space="0" w:color="auto"/>
                <w:right w:val="none" w:sz="0" w:space="0" w:color="auto"/>
              </w:divBdr>
              <w:divsChild>
                <w:div w:id="29654556">
                  <w:marLeft w:val="0"/>
                  <w:marRight w:val="0"/>
                  <w:marTop w:val="0"/>
                  <w:marBottom w:val="0"/>
                  <w:divBdr>
                    <w:top w:val="none" w:sz="0" w:space="0" w:color="auto"/>
                    <w:left w:val="none" w:sz="0" w:space="0" w:color="auto"/>
                    <w:bottom w:val="none" w:sz="0" w:space="0" w:color="auto"/>
                    <w:right w:val="none" w:sz="0" w:space="0" w:color="auto"/>
                  </w:divBdr>
                  <w:divsChild>
                    <w:div w:id="738988540">
                      <w:marLeft w:val="0"/>
                      <w:marRight w:val="0"/>
                      <w:marTop w:val="0"/>
                      <w:marBottom w:val="0"/>
                      <w:divBdr>
                        <w:top w:val="none" w:sz="0" w:space="0" w:color="auto"/>
                        <w:left w:val="none" w:sz="0" w:space="0" w:color="auto"/>
                        <w:bottom w:val="none" w:sz="0" w:space="0" w:color="auto"/>
                        <w:right w:val="none" w:sz="0" w:space="0" w:color="auto"/>
                      </w:divBdr>
                      <w:divsChild>
                        <w:div w:id="1055356240">
                          <w:marLeft w:val="0"/>
                          <w:marRight w:val="0"/>
                          <w:marTop w:val="0"/>
                          <w:marBottom w:val="0"/>
                          <w:divBdr>
                            <w:top w:val="none" w:sz="0" w:space="0" w:color="auto"/>
                            <w:left w:val="none" w:sz="0" w:space="0" w:color="auto"/>
                            <w:bottom w:val="none" w:sz="0" w:space="0" w:color="auto"/>
                            <w:right w:val="none" w:sz="0" w:space="0" w:color="auto"/>
                          </w:divBdr>
                          <w:divsChild>
                            <w:div w:id="1727800771">
                              <w:marLeft w:val="0"/>
                              <w:marRight w:val="0"/>
                              <w:marTop w:val="0"/>
                              <w:marBottom w:val="0"/>
                              <w:divBdr>
                                <w:top w:val="none" w:sz="0" w:space="0" w:color="auto"/>
                                <w:left w:val="none" w:sz="0" w:space="0" w:color="auto"/>
                                <w:bottom w:val="none" w:sz="0" w:space="0" w:color="auto"/>
                                <w:right w:val="none" w:sz="0" w:space="0" w:color="auto"/>
                              </w:divBdr>
                              <w:divsChild>
                                <w:div w:id="312952096">
                                  <w:marLeft w:val="0"/>
                                  <w:marRight w:val="0"/>
                                  <w:marTop w:val="0"/>
                                  <w:marBottom w:val="0"/>
                                  <w:divBdr>
                                    <w:top w:val="none" w:sz="0" w:space="0" w:color="auto"/>
                                    <w:left w:val="none" w:sz="0" w:space="0" w:color="auto"/>
                                    <w:bottom w:val="none" w:sz="0" w:space="0" w:color="auto"/>
                                    <w:right w:val="none" w:sz="0" w:space="0" w:color="auto"/>
                                  </w:divBdr>
                                  <w:divsChild>
                                    <w:div w:id="1386639565">
                                      <w:marLeft w:val="0"/>
                                      <w:marRight w:val="0"/>
                                      <w:marTop w:val="0"/>
                                      <w:marBottom w:val="0"/>
                                      <w:divBdr>
                                        <w:top w:val="none" w:sz="0" w:space="0" w:color="auto"/>
                                        <w:left w:val="none" w:sz="0" w:space="0" w:color="auto"/>
                                        <w:bottom w:val="none" w:sz="0" w:space="0" w:color="auto"/>
                                        <w:right w:val="none" w:sz="0" w:space="0" w:color="auto"/>
                                      </w:divBdr>
                                      <w:divsChild>
                                        <w:div w:id="1738818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202695">
          <w:marLeft w:val="0"/>
          <w:marRight w:val="0"/>
          <w:marTop w:val="0"/>
          <w:marBottom w:val="0"/>
          <w:divBdr>
            <w:top w:val="none" w:sz="0" w:space="0" w:color="auto"/>
            <w:left w:val="none" w:sz="0" w:space="0" w:color="auto"/>
            <w:bottom w:val="none" w:sz="0" w:space="0" w:color="auto"/>
            <w:right w:val="none" w:sz="0" w:space="0" w:color="auto"/>
          </w:divBdr>
          <w:divsChild>
            <w:div w:id="389155834">
              <w:marLeft w:val="0"/>
              <w:marRight w:val="0"/>
              <w:marTop w:val="0"/>
              <w:marBottom w:val="0"/>
              <w:divBdr>
                <w:top w:val="none" w:sz="0" w:space="0" w:color="auto"/>
                <w:left w:val="none" w:sz="0" w:space="0" w:color="auto"/>
                <w:bottom w:val="none" w:sz="0" w:space="0" w:color="auto"/>
                <w:right w:val="none" w:sz="0" w:space="0" w:color="auto"/>
              </w:divBdr>
              <w:divsChild>
                <w:div w:id="148714677">
                  <w:marLeft w:val="0"/>
                  <w:marRight w:val="0"/>
                  <w:marTop w:val="0"/>
                  <w:marBottom w:val="0"/>
                  <w:divBdr>
                    <w:top w:val="none" w:sz="0" w:space="0" w:color="auto"/>
                    <w:left w:val="none" w:sz="0" w:space="0" w:color="auto"/>
                    <w:bottom w:val="none" w:sz="0" w:space="0" w:color="auto"/>
                    <w:right w:val="none" w:sz="0" w:space="0" w:color="auto"/>
                  </w:divBdr>
                  <w:divsChild>
                    <w:div w:id="51662357">
                      <w:marLeft w:val="0"/>
                      <w:marRight w:val="0"/>
                      <w:marTop w:val="0"/>
                      <w:marBottom w:val="0"/>
                      <w:divBdr>
                        <w:top w:val="none" w:sz="0" w:space="0" w:color="auto"/>
                        <w:left w:val="none" w:sz="0" w:space="0" w:color="auto"/>
                        <w:bottom w:val="none" w:sz="0" w:space="0" w:color="auto"/>
                        <w:right w:val="none" w:sz="0" w:space="0" w:color="auto"/>
                      </w:divBdr>
                      <w:divsChild>
                        <w:div w:id="444932472">
                          <w:marLeft w:val="0"/>
                          <w:marRight w:val="0"/>
                          <w:marTop w:val="0"/>
                          <w:marBottom w:val="0"/>
                          <w:divBdr>
                            <w:top w:val="none" w:sz="0" w:space="0" w:color="auto"/>
                            <w:left w:val="none" w:sz="0" w:space="0" w:color="auto"/>
                            <w:bottom w:val="none" w:sz="0" w:space="0" w:color="auto"/>
                            <w:right w:val="none" w:sz="0" w:space="0" w:color="auto"/>
                          </w:divBdr>
                          <w:divsChild>
                            <w:div w:id="556933957">
                              <w:marLeft w:val="0"/>
                              <w:marRight w:val="0"/>
                              <w:marTop w:val="0"/>
                              <w:marBottom w:val="0"/>
                              <w:divBdr>
                                <w:top w:val="none" w:sz="0" w:space="0" w:color="auto"/>
                                <w:left w:val="none" w:sz="0" w:space="0" w:color="auto"/>
                                <w:bottom w:val="none" w:sz="0" w:space="0" w:color="auto"/>
                                <w:right w:val="none" w:sz="0" w:space="0" w:color="auto"/>
                              </w:divBdr>
                              <w:divsChild>
                                <w:div w:id="1553157677">
                                  <w:marLeft w:val="0"/>
                                  <w:marRight w:val="0"/>
                                  <w:marTop w:val="0"/>
                                  <w:marBottom w:val="0"/>
                                  <w:divBdr>
                                    <w:top w:val="none" w:sz="0" w:space="0" w:color="auto"/>
                                    <w:left w:val="none" w:sz="0" w:space="0" w:color="auto"/>
                                    <w:bottom w:val="none" w:sz="0" w:space="0" w:color="auto"/>
                                    <w:right w:val="none" w:sz="0" w:space="0" w:color="auto"/>
                                  </w:divBdr>
                                  <w:divsChild>
                                    <w:div w:id="1577587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4184420">
                  <w:marLeft w:val="0"/>
                  <w:marRight w:val="0"/>
                  <w:marTop w:val="0"/>
                  <w:marBottom w:val="0"/>
                  <w:divBdr>
                    <w:top w:val="none" w:sz="0" w:space="0" w:color="auto"/>
                    <w:left w:val="none" w:sz="0" w:space="0" w:color="auto"/>
                    <w:bottom w:val="none" w:sz="0" w:space="0" w:color="auto"/>
                    <w:right w:val="none" w:sz="0" w:space="0" w:color="auto"/>
                  </w:divBdr>
                  <w:divsChild>
                    <w:div w:id="974405763">
                      <w:marLeft w:val="0"/>
                      <w:marRight w:val="0"/>
                      <w:marTop w:val="0"/>
                      <w:marBottom w:val="0"/>
                      <w:divBdr>
                        <w:top w:val="none" w:sz="0" w:space="0" w:color="auto"/>
                        <w:left w:val="none" w:sz="0" w:space="0" w:color="auto"/>
                        <w:bottom w:val="none" w:sz="0" w:space="0" w:color="auto"/>
                        <w:right w:val="none" w:sz="0" w:space="0" w:color="auto"/>
                      </w:divBdr>
                      <w:divsChild>
                        <w:div w:id="1006176558">
                          <w:marLeft w:val="0"/>
                          <w:marRight w:val="0"/>
                          <w:marTop w:val="0"/>
                          <w:marBottom w:val="0"/>
                          <w:divBdr>
                            <w:top w:val="none" w:sz="0" w:space="0" w:color="auto"/>
                            <w:left w:val="none" w:sz="0" w:space="0" w:color="auto"/>
                            <w:bottom w:val="none" w:sz="0" w:space="0" w:color="auto"/>
                            <w:right w:val="none" w:sz="0" w:space="0" w:color="auto"/>
                          </w:divBdr>
                          <w:divsChild>
                            <w:div w:id="2045714629">
                              <w:marLeft w:val="0"/>
                              <w:marRight w:val="0"/>
                              <w:marTop w:val="0"/>
                              <w:marBottom w:val="0"/>
                              <w:divBdr>
                                <w:top w:val="none" w:sz="0" w:space="0" w:color="auto"/>
                                <w:left w:val="none" w:sz="0" w:space="0" w:color="auto"/>
                                <w:bottom w:val="none" w:sz="0" w:space="0" w:color="auto"/>
                                <w:right w:val="none" w:sz="0" w:space="0" w:color="auto"/>
                              </w:divBdr>
                              <w:divsChild>
                                <w:div w:id="1425832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8027635">
          <w:marLeft w:val="0"/>
          <w:marRight w:val="0"/>
          <w:marTop w:val="0"/>
          <w:marBottom w:val="0"/>
          <w:divBdr>
            <w:top w:val="none" w:sz="0" w:space="0" w:color="auto"/>
            <w:left w:val="none" w:sz="0" w:space="0" w:color="auto"/>
            <w:bottom w:val="none" w:sz="0" w:space="0" w:color="auto"/>
            <w:right w:val="none" w:sz="0" w:space="0" w:color="auto"/>
          </w:divBdr>
          <w:divsChild>
            <w:div w:id="460731503">
              <w:marLeft w:val="0"/>
              <w:marRight w:val="0"/>
              <w:marTop w:val="0"/>
              <w:marBottom w:val="0"/>
              <w:divBdr>
                <w:top w:val="none" w:sz="0" w:space="0" w:color="auto"/>
                <w:left w:val="none" w:sz="0" w:space="0" w:color="auto"/>
                <w:bottom w:val="none" w:sz="0" w:space="0" w:color="auto"/>
                <w:right w:val="none" w:sz="0" w:space="0" w:color="auto"/>
              </w:divBdr>
              <w:divsChild>
                <w:div w:id="874538227">
                  <w:marLeft w:val="0"/>
                  <w:marRight w:val="0"/>
                  <w:marTop w:val="0"/>
                  <w:marBottom w:val="0"/>
                  <w:divBdr>
                    <w:top w:val="none" w:sz="0" w:space="0" w:color="auto"/>
                    <w:left w:val="none" w:sz="0" w:space="0" w:color="auto"/>
                    <w:bottom w:val="none" w:sz="0" w:space="0" w:color="auto"/>
                    <w:right w:val="none" w:sz="0" w:space="0" w:color="auto"/>
                  </w:divBdr>
                  <w:divsChild>
                    <w:div w:id="1703050223">
                      <w:marLeft w:val="0"/>
                      <w:marRight w:val="0"/>
                      <w:marTop w:val="0"/>
                      <w:marBottom w:val="0"/>
                      <w:divBdr>
                        <w:top w:val="none" w:sz="0" w:space="0" w:color="auto"/>
                        <w:left w:val="none" w:sz="0" w:space="0" w:color="auto"/>
                        <w:bottom w:val="none" w:sz="0" w:space="0" w:color="auto"/>
                        <w:right w:val="none" w:sz="0" w:space="0" w:color="auto"/>
                      </w:divBdr>
                      <w:divsChild>
                        <w:div w:id="959650817">
                          <w:marLeft w:val="0"/>
                          <w:marRight w:val="0"/>
                          <w:marTop w:val="0"/>
                          <w:marBottom w:val="0"/>
                          <w:divBdr>
                            <w:top w:val="none" w:sz="0" w:space="0" w:color="auto"/>
                            <w:left w:val="none" w:sz="0" w:space="0" w:color="auto"/>
                            <w:bottom w:val="none" w:sz="0" w:space="0" w:color="auto"/>
                            <w:right w:val="none" w:sz="0" w:space="0" w:color="auto"/>
                          </w:divBdr>
                          <w:divsChild>
                            <w:div w:id="2002539677">
                              <w:marLeft w:val="0"/>
                              <w:marRight w:val="0"/>
                              <w:marTop w:val="0"/>
                              <w:marBottom w:val="0"/>
                              <w:divBdr>
                                <w:top w:val="none" w:sz="0" w:space="0" w:color="auto"/>
                                <w:left w:val="none" w:sz="0" w:space="0" w:color="auto"/>
                                <w:bottom w:val="none" w:sz="0" w:space="0" w:color="auto"/>
                                <w:right w:val="none" w:sz="0" w:space="0" w:color="auto"/>
                              </w:divBdr>
                              <w:divsChild>
                                <w:div w:id="467862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562550">
                  <w:marLeft w:val="0"/>
                  <w:marRight w:val="0"/>
                  <w:marTop w:val="0"/>
                  <w:marBottom w:val="0"/>
                  <w:divBdr>
                    <w:top w:val="none" w:sz="0" w:space="0" w:color="auto"/>
                    <w:left w:val="none" w:sz="0" w:space="0" w:color="auto"/>
                    <w:bottom w:val="none" w:sz="0" w:space="0" w:color="auto"/>
                    <w:right w:val="none" w:sz="0" w:space="0" w:color="auto"/>
                  </w:divBdr>
                  <w:divsChild>
                    <w:div w:id="628054678">
                      <w:marLeft w:val="0"/>
                      <w:marRight w:val="0"/>
                      <w:marTop w:val="0"/>
                      <w:marBottom w:val="0"/>
                      <w:divBdr>
                        <w:top w:val="none" w:sz="0" w:space="0" w:color="auto"/>
                        <w:left w:val="none" w:sz="0" w:space="0" w:color="auto"/>
                        <w:bottom w:val="none" w:sz="0" w:space="0" w:color="auto"/>
                        <w:right w:val="none" w:sz="0" w:space="0" w:color="auto"/>
                      </w:divBdr>
                      <w:divsChild>
                        <w:div w:id="945116097">
                          <w:marLeft w:val="0"/>
                          <w:marRight w:val="0"/>
                          <w:marTop w:val="0"/>
                          <w:marBottom w:val="0"/>
                          <w:divBdr>
                            <w:top w:val="none" w:sz="0" w:space="0" w:color="auto"/>
                            <w:left w:val="none" w:sz="0" w:space="0" w:color="auto"/>
                            <w:bottom w:val="none" w:sz="0" w:space="0" w:color="auto"/>
                            <w:right w:val="none" w:sz="0" w:space="0" w:color="auto"/>
                          </w:divBdr>
                          <w:divsChild>
                            <w:div w:id="601180960">
                              <w:marLeft w:val="0"/>
                              <w:marRight w:val="0"/>
                              <w:marTop w:val="0"/>
                              <w:marBottom w:val="0"/>
                              <w:divBdr>
                                <w:top w:val="none" w:sz="0" w:space="0" w:color="auto"/>
                                <w:left w:val="none" w:sz="0" w:space="0" w:color="auto"/>
                                <w:bottom w:val="none" w:sz="0" w:space="0" w:color="auto"/>
                                <w:right w:val="none" w:sz="0" w:space="0" w:color="auto"/>
                              </w:divBdr>
                              <w:divsChild>
                                <w:div w:id="1744372597">
                                  <w:marLeft w:val="0"/>
                                  <w:marRight w:val="0"/>
                                  <w:marTop w:val="0"/>
                                  <w:marBottom w:val="0"/>
                                  <w:divBdr>
                                    <w:top w:val="none" w:sz="0" w:space="0" w:color="auto"/>
                                    <w:left w:val="none" w:sz="0" w:space="0" w:color="auto"/>
                                    <w:bottom w:val="none" w:sz="0" w:space="0" w:color="auto"/>
                                    <w:right w:val="none" w:sz="0" w:space="0" w:color="auto"/>
                                  </w:divBdr>
                                  <w:divsChild>
                                    <w:div w:id="1722169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25531510">
          <w:marLeft w:val="0"/>
          <w:marRight w:val="0"/>
          <w:marTop w:val="0"/>
          <w:marBottom w:val="0"/>
          <w:divBdr>
            <w:top w:val="none" w:sz="0" w:space="0" w:color="auto"/>
            <w:left w:val="none" w:sz="0" w:space="0" w:color="auto"/>
            <w:bottom w:val="none" w:sz="0" w:space="0" w:color="auto"/>
            <w:right w:val="none" w:sz="0" w:space="0" w:color="auto"/>
          </w:divBdr>
          <w:divsChild>
            <w:div w:id="1779981739">
              <w:marLeft w:val="0"/>
              <w:marRight w:val="0"/>
              <w:marTop w:val="0"/>
              <w:marBottom w:val="0"/>
              <w:divBdr>
                <w:top w:val="none" w:sz="0" w:space="0" w:color="auto"/>
                <w:left w:val="none" w:sz="0" w:space="0" w:color="auto"/>
                <w:bottom w:val="none" w:sz="0" w:space="0" w:color="auto"/>
                <w:right w:val="none" w:sz="0" w:space="0" w:color="auto"/>
              </w:divBdr>
              <w:divsChild>
                <w:div w:id="2008165158">
                  <w:marLeft w:val="0"/>
                  <w:marRight w:val="0"/>
                  <w:marTop w:val="0"/>
                  <w:marBottom w:val="0"/>
                  <w:divBdr>
                    <w:top w:val="none" w:sz="0" w:space="0" w:color="auto"/>
                    <w:left w:val="none" w:sz="0" w:space="0" w:color="auto"/>
                    <w:bottom w:val="none" w:sz="0" w:space="0" w:color="auto"/>
                    <w:right w:val="none" w:sz="0" w:space="0" w:color="auto"/>
                  </w:divBdr>
                  <w:divsChild>
                    <w:div w:id="222906990">
                      <w:marLeft w:val="0"/>
                      <w:marRight w:val="0"/>
                      <w:marTop w:val="0"/>
                      <w:marBottom w:val="0"/>
                      <w:divBdr>
                        <w:top w:val="none" w:sz="0" w:space="0" w:color="auto"/>
                        <w:left w:val="none" w:sz="0" w:space="0" w:color="auto"/>
                        <w:bottom w:val="none" w:sz="0" w:space="0" w:color="auto"/>
                        <w:right w:val="none" w:sz="0" w:space="0" w:color="auto"/>
                      </w:divBdr>
                      <w:divsChild>
                        <w:div w:id="867909503">
                          <w:marLeft w:val="0"/>
                          <w:marRight w:val="0"/>
                          <w:marTop w:val="0"/>
                          <w:marBottom w:val="0"/>
                          <w:divBdr>
                            <w:top w:val="none" w:sz="0" w:space="0" w:color="auto"/>
                            <w:left w:val="none" w:sz="0" w:space="0" w:color="auto"/>
                            <w:bottom w:val="none" w:sz="0" w:space="0" w:color="auto"/>
                            <w:right w:val="none" w:sz="0" w:space="0" w:color="auto"/>
                          </w:divBdr>
                          <w:divsChild>
                            <w:div w:id="2134860278">
                              <w:marLeft w:val="0"/>
                              <w:marRight w:val="0"/>
                              <w:marTop w:val="0"/>
                              <w:marBottom w:val="0"/>
                              <w:divBdr>
                                <w:top w:val="none" w:sz="0" w:space="0" w:color="auto"/>
                                <w:left w:val="none" w:sz="0" w:space="0" w:color="auto"/>
                                <w:bottom w:val="none" w:sz="0" w:space="0" w:color="auto"/>
                                <w:right w:val="none" w:sz="0" w:space="0" w:color="auto"/>
                              </w:divBdr>
                              <w:divsChild>
                                <w:div w:id="2090928158">
                                  <w:marLeft w:val="0"/>
                                  <w:marRight w:val="0"/>
                                  <w:marTop w:val="0"/>
                                  <w:marBottom w:val="0"/>
                                  <w:divBdr>
                                    <w:top w:val="none" w:sz="0" w:space="0" w:color="auto"/>
                                    <w:left w:val="none" w:sz="0" w:space="0" w:color="auto"/>
                                    <w:bottom w:val="none" w:sz="0" w:space="0" w:color="auto"/>
                                    <w:right w:val="none" w:sz="0" w:space="0" w:color="auto"/>
                                  </w:divBdr>
                                  <w:divsChild>
                                    <w:div w:id="920140664">
                                      <w:marLeft w:val="0"/>
                                      <w:marRight w:val="0"/>
                                      <w:marTop w:val="0"/>
                                      <w:marBottom w:val="0"/>
                                      <w:divBdr>
                                        <w:top w:val="none" w:sz="0" w:space="0" w:color="auto"/>
                                        <w:left w:val="none" w:sz="0" w:space="0" w:color="auto"/>
                                        <w:bottom w:val="none" w:sz="0" w:space="0" w:color="auto"/>
                                        <w:right w:val="none" w:sz="0" w:space="0" w:color="auto"/>
                                      </w:divBdr>
                                      <w:divsChild>
                                        <w:div w:id="1926263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99062256">
          <w:marLeft w:val="0"/>
          <w:marRight w:val="0"/>
          <w:marTop w:val="0"/>
          <w:marBottom w:val="0"/>
          <w:divBdr>
            <w:top w:val="none" w:sz="0" w:space="0" w:color="auto"/>
            <w:left w:val="none" w:sz="0" w:space="0" w:color="auto"/>
            <w:bottom w:val="none" w:sz="0" w:space="0" w:color="auto"/>
            <w:right w:val="none" w:sz="0" w:space="0" w:color="auto"/>
          </w:divBdr>
          <w:divsChild>
            <w:div w:id="1005405446">
              <w:marLeft w:val="0"/>
              <w:marRight w:val="0"/>
              <w:marTop w:val="0"/>
              <w:marBottom w:val="0"/>
              <w:divBdr>
                <w:top w:val="none" w:sz="0" w:space="0" w:color="auto"/>
                <w:left w:val="none" w:sz="0" w:space="0" w:color="auto"/>
                <w:bottom w:val="none" w:sz="0" w:space="0" w:color="auto"/>
                <w:right w:val="none" w:sz="0" w:space="0" w:color="auto"/>
              </w:divBdr>
              <w:divsChild>
                <w:div w:id="1708486702">
                  <w:marLeft w:val="0"/>
                  <w:marRight w:val="0"/>
                  <w:marTop w:val="0"/>
                  <w:marBottom w:val="0"/>
                  <w:divBdr>
                    <w:top w:val="none" w:sz="0" w:space="0" w:color="auto"/>
                    <w:left w:val="none" w:sz="0" w:space="0" w:color="auto"/>
                    <w:bottom w:val="none" w:sz="0" w:space="0" w:color="auto"/>
                    <w:right w:val="none" w:sz="0" w:space="0" w:color="auto"/>
                  </w:divBdr>
                  <w:divsChild>
                    <w:div w:id="1875002906">
                      <w:marLeft w:val="0"/>
                      <w:marRight w:val="0"/>
                      <w:marTop w:val="0"/>
                      <w:marBottom w:val="0"/>
                      <w:divBdr>
                        <w:top w:val="none" w:sz="0" w:space="0" w:color="auto"/>
                        <w:left w:val="none" w:sz="0" w:space="0" w:color="auto"/>
                        <w:bottom w:val="none" w:sz="0" w:space="0" w:color="auto"/>
                        <w:right w:val="none" w:sz="0" w:space="0" w:color="auto"/>
                      </w:divBdr>
                      <w:divsChild>
                        <w:div w:id="1896349699">
                          <w:marLeft w:val="0"/>
                          <w:marRight w:val="0"/>
                          <w:marTop w:val="0"/>
                          <w:marBottom w:val="0"/>
                          <w:divBdr>
                            <w:top w:val="none" w:sz="0" w:space="0" w:color="auto"/>
                            <w:left w:val="none" w:sz="0" w:space="0" w:color="auto"/>
                            <w:bottom w:val="none" w:sz="0" w:space="0" w:color="auto"/>
                            <w:right w:val="none" w:sz="0" w:space="0" w:color="auto"/>
                          </w:divBdr>
                          <w:divsChild>
                            <w:div w:id="1955017207">
                              <w:marLeft w:val="0"/>
                              <w:marRight w:val="0"/>
                              <w:marTop w:val="0"/>
                              <w:marBottom w:val="0"/>
                              <w:divBdr>
                                <w:top w:val="none" w:sz="0" w:space="0" w:color="auto"/>
                                <w:left w:val="none" w:sz="0" w:space="0" w:color="auto"/>
                                <w:bottom w:val="none" w:sz="0" w:space="0" w:color="auto"/>
                                <w:right w:val="none" w:sz="0" w:space="0" w:color="auto"/>
                              </w:divBdr>
                              <w:divsChild>
                                <w:div w:id="792555180">
                                  <w:marLeft w:val="0"/>
                                  <w:marRight w:val="0"/>
                                  <w:marTop w:val="0"/>
                                  <w:marBottom w:val="0"/>
                                  <w:divBdr>
                                    <w:top w:val="none" w:sz="0" w:space="0" w:color="auto"/>
                                    <w:left w:val="none" w:sz="0" w:space="0" w:color="auto"/>
                                    <w:bottom w:val="none" w:sz="0" w:space="0" w:color="auto"/>
                                    <w:right w:val="none" w:sz="0" w:space="0" w:color="auto"/>
                                  </w:divBdr>
                                  <w:divsChild>
                                    <w:div w:id="913472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7178545">
                  <w:marLeft w:val="0"/>
                  <w:marRight w:val="0"/>
                  <w:marTop w:val="0"/>
                  <w:marBottom w:val="0"/>
                  <w:divBdr>
                    <w:top w:val="none" w:sz="0" w:space="0" w:color="auto"/>
                    <w:left w:val="none" w:sz="0" w:space="0" w:color="auto"/>
                    <w:bottom w:val="none" w:sz="0" w:space="0" w:color="auto"/>
                    <w:right w:val="none" w:sz="0" w:space="0" w:color="auto"/>
                  </w:divBdr>
                  <w:divsChild>
                    <w:div w:id="1349673357">
                      <w:marLeft w:val="0"/>
                      <w:marRight w:val="0"/>
                      <w:marTop w:val="0"/>
                      <w:marBottom w:val="0"/>
                      <w:divBdr>
                        <w:top w:val="none" w:sz="0" w:space="0" w:color="auto"/>
                        <w:left w:val="none" w:sz="0" w:space="0" w:color="auto"/>
                        <w:bottom w:val="none" w:sz="0" w:space="0" w:color="auto"/>
                        <w:right w:val="none" w:sz="0" w:space="0" w:color="auto"/>
                      </w:divBdr>
                      <w:divsChild>
                        <w:div w:id="1693412382">
                          <w:marLeft w:val="0"/>
                          <w:marRight w:val="0"/>
                          <w:marTop w:val="0"/>
                          <w:marBottom w:val="0"/>
                          <w:divBdr>
                            <w:top w:val="none" w:sz="0" w:space="0" w:color="auto"/>
                            <w:left w:val="none" w:sz="0" w:space="0" w:color="auto"/>
                            <w:bottom w:val="none" w:sz="0" w:space="0" w:color="auto"/>
                            <w:right w:val="none" w:sz="0" w:space="0" w:color="auto"/>
                          </w:divBdr>
                          <w:divsChild>
                            <w:div w:id="130945271">
                              <w:marLeft w:val="0"/>
                              <w:marRight w:val="0"/>
                              <w:marTop w:val="0"/>
                              <w:marBottom w:val="0"/>
                              <w:divBdr>
                                <w:top w:val="none" w:sz="0" w:space="0" w:color="auto"/>
                                <w:left w:val="none" w:sz="0" w:space="0" w:color="auto"/>
                                <w:bottom w:val="none" w:sz="0" w:space="0" w:color="auto"/>
                                <w:right w:val="none" w:sz="0" w:space="0" w:color="auto"/>
                              </w:divBdr>
                              <w:divsChild>
                                <w:div w:id="1766151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20101950">
          <w:marLeft w:val="0"/>
          <w:marRight w:val="0"/>
          <w:marTop w:val="0"/>
          <w:marBottom w:val="0"/>
          <w:divBdr>
            <w:top w:val="none" w:sz="0" w:space="0" w:color="auto"/>
            <w:left w:val="none" w:sz="0" w:space="0" w:color="auto"/>
            <w:bottom w:val="none" w:sz="0" w:space="0" w:color="auto"/>
            <w:right w:val="none" w:sz="0" w:space="0" w:color="auto"/>
          </w:divBdr>
          <w:divsChild>
            <w:div w:id="1646201864">
              <w:marLeft w:val="0"/>
              <w:marRight w:val="0"/>
              <w:marTop w:val="0"/>
              <w:marBottom w:val="0"/>
              <w:divBdr>
                <w:top w:val="none" w:sz="0" w:space="0" w:color="auto"/>
                <w:left w:val="none" w:sz="0" w:space="0" w:color="auto"/>
                <w:bottom w:val="none" w:sz="0" w:space="0" w:color="auto"/>
                <w:right w:val="none" w:sz="0" w:space="0" w:color="auto"/>
              </w:divBdr>
              <w:divsChild>
                <w:div w:id="1593511572">
                  <w:marLeft w:val="0"/>
                  <w:marRight w:val="0"/>
                  <w:marTop w:val="0"/>
                  <w:marBottom w:val="0"/>
                  <w:divBdr>
                    <w:top w:val="none" w:sz="0" w:space="0" w:color="auto"/>
                    <w:left w:val="none" w:sz="0" w:space="0" w:color="auto"/>
                    <w:bottom w:val="none" w:sz="0" w:space="0" w:color="auto"/>
                    <w:right w:val="none" w:sz="0" w:space="0" w:color="auto"/>
                  </w:divBdr>
                  <w:divsChild>
                    <w:div w:id="516577806">
                      <w:marLeft w:val="0"/>
                      <w:marRight w:val="0"/>
                      <w:marTop w:val="0"/>
                      <w:marBottom w:val="0"/>
                      <w:divBdr>
                        <w:top w:val="none" w:sz="0" w:space="0" w:color="auto"/>
                        <w:left w:val="none" w:sz="0" w:space="0" w:color="auto"/>
                        <w:bottom w:val="none" w:sz="0" w:space="0" w:color="auto"/>
                        <w:right w:val="none" w:sz="0" w:space="0" w:color="auto"/>
                      </w:divBdr>
                      <w:divsChild>
                        <w:div w:id="1008554464">
                          <w:marLeft w:val="0"/>
                          <w:marRight w:val="0"/>
                          <w:marTop w:val="0"/>
                          <w:marBottom w:val="0"/>
                          <w:divBdr>
                            <w:top w:val="none" w:sz="0" w:space="0" w:color="auto"/>
                            <w:left w:val="none" w:sz="0" w:space="0" w:color="auto"/>
                            <w:bottom w:val="none" w:sz="0" w:space="0" w:color="auto"/>
                            <w:right w:val="none" w:sz="0" w:space="0" w:color="auto"/>
                          </w:divBdr>
                          <w:divsChild>
                            <w:div w:id="338585345">
                              <w:marLeft w:val="0"/>
                              <w:marRight w:val="0"/>
                              <w:marTop w:val="0"/>
                              <w:marBottom w:val="0"/>
                              <w:divBdr>
                                <w:top w:val="none" w:sz="0" w:space="0" w:color="auto"/>
                                <w:left w:val="none" w:sz="0" w:space="0" w:color="auto"/>
                                <w:bottom w:val="none" w:sz="0" w:space="0" w:color="auto"/>
                                <w:right w:val="none" w:sz="0" w:space="0" w:color="auto"/>
                              </w:divBdr>
                              <w:divsChild>
                                <w:div w:id="1749494370">
                                  <w:marLeft w:val="0"/>
                                  <w:marRight w:val="0"/>
                                  <w:marTop w:val="0"/>
                                  <w:marBottom w:val="0"/>
                                  <w:divBdr>
                                    <w:top w:val="none" w:sz="0" w:space="0" w:color="auto"/>
                                    <w:left w:val="none" w:sz="0" w:space="0" w:color="auto"/>
                                    <w:bottom w:val="none" w:sz="0" w:space="0" w:color="auto"/>
                                    <w:right w:val="none" w:sz="0" w:space="0" w:color="auto"/>
                                  </w:divBdr>
                                  <w:divsChild>
                                    <w:div w:id="430248740">
                                      <w:marLeft w:val="0"/>
                                      <w:marRight w:val="0"/>
                                      <w:marTop w:val="0"/>
                                      <w:marBottom w:val="0"/>
                                      <w:divBdr>
                                        <w:top w:val="none" w:sz="0" w:space="0" w:color="auto"/>
                                        <w:left w:val="none" w:sz="0" w:space="0" w:color="auto"/>
                                        <w:bottom w:val="none" w:sz="0" w:space="0" w:color="auto"/>
                                        <w:right w:val="none" w:sz="0" w:space="0" w:color="auto"/>
                                      </w:divBdr>
                                      <w:divsChild>
                                        <w:div w:id="515311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08122544">
          <w:marLeft w:val="0"/>
          <w:marRight w:val="0"/>
          <w:marTop w:val="0"/>
          <w:marBottom w:val="0"/>
          <w:divBdr>
            <w:top w:val="none" w:sz="0" w:space="0" w:color="auto"/>
            <w:left w:val="none" w:sz="0" w:space="0" w:color="auto"/>
            <w:bottom w:val="none" w:sz="0" w:space="0" w:color="auto"/>
            <w:right w:val="none" w:sz="0" w:space="0" w:color="auto"/>
          </w:divBdr>
          <w:divsChild>
            <w:div w:id="1747799029">
              <w:marLeft w:val="0"/>
              <w:marRight w:val="0"/>
              <w:marTop w:val="0"/>
              <w:marBottom w:val="0"/>
              <w:divBdr>
                <w:top w:val="none" w:sz="0" w:space="0" w:color="auto"/>
                <w:left w:val="none" w:sz="0" w:space="0" w:color="auto"/>
                <w:bottom w:val="none" w:sz="0" w:space="0" w:color="auto"/>
                <w:right w:val="none" w:sz="0" w:space="0" w:color="auto"/>
              </w:divBdr>
              <w:divsChild>
                <w:div w:id="315301488">
                  <w:marLeft w:val="0"/>
                  <w:marRight w:val="0"/>
                  <w:marTop w:val="0"/>
                  <w:marBottom w:val="0"/>
                  <w:divBdr>
                    <w:top w:val="none" w:sz="0" w:space="0" w:color="auto"/>
                    <w:left w:val="none" w:sz="0" w:space="0" w:color="auto"/>
                    <w:bottom w:val="none" w:sz="0" w:space="0" w:color="auto"/>
                    <w:right w:val="none" w:sz="0" w:space="0" w:color="auto"/>
                  </w:divBdr>
                  <w:divsChild>
                    <w:div w:id="1220243945">
                      <w:marLeft w:val="0"/>
                      <w:marRight w:val="0"/>
                      <w:marTop w:val="0"/>
                      <w:marBottom w:val="0"/>
                      <w:divBdr>
                        <w:top w:val="none" w:sz="0" w:space="0" w:color="auto"/>
                        <w:left w:val="none" w:sz="0" w:space="0" w:color="auto"/>
                        <w:bottom w:val="none" w:sz="0" w:space="0" w:color="auto"/>
                        <w:right w:val="none" w:sz="0" w:space="0" w:color="auto"/>
                      </w:divBdr>
                      <w:divsChild>
                        <w:div w:id="1457485961">
                          <w:marLeft w:val="0"/>
                          <w:marRight w:val="0"/>
                          <w:marTop w:val="0"/>
                          <w:marBottom w:val="0"/>
                          <w:divBdr>
                            <w:top w:val="none" w:sz="0" w:space="0" w:color="auto"/>
                            <w:left w:val="none" w:sz="0" w:space="0" w:color="auto"/>
                            <w:bottom w:val="none" w:sz="0" w:space="0" w:color="auto"/>
                            <w:right w:val="none" w:sz="0" w:space="0" w:color="auto"/>
                          </w:divBdr>
                          <w:divsChild>
                            <w:div w:id="58333004">
                              <w:marLeft w:val="0"/>
                              <w:marRight w:val="0"/>
                              <w:marTop w:val="0"/>
                              <w:marBottom w:val="0"/>
                              <w:divBdr>
                                <w:top w:val="none" w:sz="0" w:space="0" w:color="auto"/>
                                <w:left w:val="none" w:sz="0" w:space="0" w:color="auto"/>
                                <w:bottom w:val="none" w:sz="0" w:space="0" w:color="auto"/>
                                <w:right w:val="none" w:sz="0" w:space="0" w:color="auto"/>
                              </w:divBdr>
                              <w:divsChild>
                                <w:div w:id="2090421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6850210">
                  <w:marLeft w:val="0"/>
                  <w:marRight w:val="0"/>
                  <w:marTop w:val="0"/>
                  <w:marBottom w:val="0"/>
                  <w:divBdr>
                    <w:top w:val="none" w:sz="0" w:space="0" w:color="auto"/>
                    <w:left w:val="none" w:sz="0" w:space="0" w:color="auto"/>
                    <w:bottom w:val="none" w:sz="0" w:space="0" w:color="auto"/>
                    <w:right w:val="none" w:sz="0" w:space="0" w:color="auto"/>
                  </w:divBdr>
                  <w:divsChild>
                    <w:div w:id="191962622">
                      <w:marLeft w:val="0"/>
                      <w:marRight w:val="0"/>
                      <w:marTop w:val="0"/>
                      <w:marBottom w:val="0"/>
                      <w:divBdr>
                        <w:top w:val="none" w:sz="0" w:space="0" w:color="auto"/>
                        <w:left w:val="none" w:sz="0" w:space="0" w:color="auto"/>
                        <w:bottom w:val="none" w:sz="0" w:space="0" w:color="auto"/>
                        <w:right w:val="none" w:sz="0" w:space="0" w:color="auto"/>
                      </w:divBdr>
                      <w:divsChild>
                        <w:div w:id="1442185827">
                          <w:marLeft w:val="0"/>
                          <w:marRight w:val="0"/>
                          <w:marTop w:val="0"/>
                          <w:marBottom w:val="0"/>
                          <w:divBdr>
                            <w:top w:val="none" w:sz="0" w:space="0" w:color="auto"/>
                            <w:left w:val="none" w:sz="0" w:space="0" w:color="auto"/>
                            <w:bottom w:val="none" w:sz="0" w:space="0" w:color="auto"/>
                            <w:right w:val="none" w:sz="0" w:space="0" w:color="auto"/>
                          </w:divBdr>
                          <w:divsChild>
                            <w:div w:id="971599398">
                              <w:marLeft w:val="0"/>
                              <w:marRight w:val="0"/>
                              <w:marTop w:val="0"/>
                              <w:marBottom w:val="0"/>
                              <w:divBdr>
                                <w:top w:val="none" w:sz="0" w:space="0" w:color="auto"/>
                                <w:left w:val="none" w:sz="0" w:space="0" w:color="auto"/>
                                <w:bottom w:val="none" w:sz="0" w:space="0" w:color="auto"/>
                                <w:right w:val="none" w:sz="0" w:space="0" w:color="auto"/>
                              </w:divBdr>
                              <w:divsChild>
                                <w:div w:id="1969310920">
                                  <w:marLeft w:val="0"/>
                                  <w:marRight w:val="0"/>
                                  <w:marTop w:val="0"/>
                                  <w:marBottom w:val="0"/>
                                  <w:divBdr>
                                    <w:top w:val="none" w:sz="0" w:space="0" w:color="auto"/>
                                    <w:left w:val="none" w:sz="0" w:space="0" w:color="auto"/>
                                    <w:bottom w:val="none" w:sz="0" w:space="0" w:color="auto"/>
                                    <w:right w:val="none" w:sz="0" w:space="0" w:color="auto"/>
                                  </w:divBdr>
                                  <w:divsChild>
                                    <w:div w:id="899171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52564791">
          <w:marLeft w:val="0"/>
          <w:marRight w:val="0"/>
          <w:marTop w:val="0"/>
          <w:marBottom w:val="0"/>
          <w:divBdr>
            <w:top w:val="none" w:sz="0" w:space="0" w:color="auto"/>
            <w:left w:val="none" w:sz="0" w:space="0" w:color="auto"/>
            <w:bottom w:val="none" w:sz="0" w:space="0" w:color="auto"/>
            <w:right w:val="none" w:sz="0" w:space="0" w:color="auto"/>
          </w:divBdr>
          <w:divsChild>
            <w:div w:id="902525300">
              <w:marLeft w:val="0"/>
              <w:marRight w:val="0"/>
              <w:marTop w:val="0"/>
              <w:marBottom w:val="0"/>
              <w:divBdr>
                <w:top w:val="none" w:sz="0" w:space="0" w:color="auto"/>
                <w:left w:val="none" w:sz="0" w:space="0" w:color="auto"/>
                <w:bottom w:val="none" w:sz="0" w:space="0" w:color="auto"/>
                <w:right w:val="none" w:sz="0" w:space="0" w:color="auto"/>
              </w:divBdr>
              <w:divsChild>
                <w:div w:id="1106268867">
                  <w:marLeft w:val="0"/>
                  <w:marRight w:val="0"/>
                  <w:marTop w:val="0"/>
                  <w:marBottom w:val="0"/>
                  <w:divBdr>
                    <w:top w:val="none" w:sz="0" w:space="0" w:color="auto"/>
                    <w:left w:val="none" w:sz="0" w:space="0" w:color="auto"/>
                    <w:bottom w:val="none" w:sz="0" w:space="0" w:color="auto"/>
                    <w:right w:val="none" w:sz="0" w:space="0" w:color="auto"/>
                  </w:divBdr>
                  <w:divsChild>
                    <w:div w:id="991717071">
                      <w:marLeft w:val="0"/>
                      <w:marRight w:val="0"/>
                      <w:marTop w:val="0"/>
                      <w:marBottom w:val="0"/>
                      <w:divBdr>
                        <w:top w:val="none" w:sz="0" w:space="0" w:color="auto"/>
                        <w:left w:val="none" w:sz="0" w:space="0" w:color="auto"/>
                        <w:bottom w:val="none" w:sz="0" w:space="0" w:color="auto"/>
                        <w:right w:val="none" w:sz="0" w:space="0" w:color="auto"/>
                      </w:divBdr>
                      <w:divsChild>
                        <w:div w:id="283732831">
                          <w:marLeft w:val="0"/>
                          <w:marRight w:val="0"/>
                          <w:marTop w:val="0"/>
                          <w:marBottom w:val="0"/>
                          <w:divBdr>
                            <w:top w:val="none" w:sz="0" w:space="0" w:color="auto"/>
                            <w:left w:val="none" w:sz="0" w:space="0" w:color="auto"/>
                            <w:bottom w:val="none" w:sz="0" w:space="0" w:color="auto"/>
                            <w:right w:val="none" w:sz="0" w:space="0" w:color="auto"/>
                          </w:divBdr>
                          <w:divsChild>
                            <w:div w:id="365571602">
                              <w:marLeft w:val="0"/>
                              <w:marRight w:val="0"/>
                              <w:marTop w:val="0"/>
                              <w:marBottom w:val="0"/>
                              <w:divBdr>
                                <w:top w:val="none" w:sz="0" w:space="0" w:color="auto"/>
                                <w:left w:val="none" w:sz="0" w:space="0" w:color="auto"/>
                                <w:bottom w:val="none" w:sz="0" w:space="0" w:color="auto"/>
                                <w:right w:val="none" w:sz="0" w:space="0" w:color="auto"/>
                              </w:divBdr>
                              <w:divsChild>
                                <w:div w:id="1471049216">
                                  <w:marLeft w:val="0"/>
                                  <w:marRight w:val="0"/>
                                  <w:marTop w:val="0"/>
                                  <w:marBottom w:val="0"/>
                                  <w:divBdr>
                                    <w:top w:val="none" w:sz="0" w:space="0" w:color="auto"/>
                                    <w:left w:val="none" w:sz="0" w:space="0" w:color="auto"/>
                                    <w:bottom w:val="none" w:sz="0" w:space="0" w:color="auto"/>
                                    <w:right w:val="none" w:sz="0" w:space="0" w:color="auto"/>
                                  </w:divBdr>
                                  <w:divsChild>
                                    <w:div w:id="1756827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4496443">
                  <w:marLeft w:val="0"/>
                  <w:marRight w:val="0"/>
                  <w:marTop w:val="0"/>
                  <w:marBottom w:val="0"/>
                  <w:divBdr>
                    <w:top w:val="none" w:sz="0" w:space="0" w:color="auto"/>
                    <w:left w:val="none" w:sz="0" w:space="0" w:color="auto"/>
                    <w:bottom w:val="none" w:sz="0" w:space="0" w:color="auto"/>
                    <w:right w:val="none" w:sz="0" w:space="0" w:color="auto"/>
                  </w:divBdr>
                  <w:divsChild>
                    <w:div w:id="26956371">
                      <w:marLeft w:val="0"/>
                      <w:marRight w:val="0"/>
                      <w:marTop w:val="0"/>
                      <w:marBottom w:val="0"/>
                      <w:divBdr>
                        <w:top w:val="none" w:sz="0" w:space="0" w:color="auto"/>
                        <w:left w:val="none" w:sz="0" w:space="0" w:color="auto"/>
                        <w:bottom w:val="none" w:sz="0" w:space="0" w:color="auto"/>
                        <w:right w:val="none" w:sz="0" w:space="0" w:color="auto"/>
                      </w:divBdr>
                      <w:divsChild>
                        <w:div w:id="868569627">
                          <w:marLeft w:val="0"/>
                          <w:marRight w:val="0"/>
                          <w:marTop w:val="0"/>
                          <w:marBottom w:val="0"/>
                          <w:divBdr>
                            <w:top w:val="none" w:sz="0" w:space="0" w:color="auto"/>
                            <w:left w:val="none" w:sz="0" w:space="0" w:color="auto"/>
                            <w:bottom w:val="none" w:sz="0" w:space="0" w:color="auto"/>
                            <w:right w:val="none" w:sz="0" w:space="0" w:color="auto"/>
                          </w:divBdr>
                          <w:divsChild>
                            <w:div w:id="116608620">
                              <w:marLeft w:val="0"/>
                              <w:marRight w:val="0"/>
                              <w:marTop w:val="0"/>
                              <w:marBottom w:val="0"/>
                              <w:divBdr>
                                <w:top w:val="none" w:sz="0" w:space="0" w:color="auto"/>
                                <w:left w:val="none" w:sz="0" w:space="0" w:color="auto"/>
                                <w:bottom w:val="none" w:sz="0" w:space="0" w:color="auto"/>
                                <w:right w:val="none" w:sz="0" w:space="0" w:color="auto"/>
                              </w:divBdr>
                              <w:divsChild>
                                <w:div w:id="723675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4014535">
          <w:marLeft w:val="0"/>
          <w:marRight w:val="0"/>
          <w:marTop w:val="0"/>
          <w:marBottom w:val="0"/>
          <w:divBdr>
            <w:top w:val="none" w:sz="0" w:space="0" w:color="auto"/>
            <w:left w:val="none" w:sz="0" w:space="0" w:color="auto"/>
            <w:bottom w:val="none" w:sz="0" w:space="0" w:color="auto"/>
            <w:right w:val="none" w:sz="0" w:space="0" w:color="auto"/>
          </w:divBdr>
          <w:divsChild>
            <w:div w:id="63379035">
              <w:marLeft w:val="0"/>
              <w:marRight w:val="0"/>
              <w:marTop w:val="0"/>
              <w:marBottom w:val="0"/>
              <w:divBdr>
                <w:top w:val="none" w:sz="0" w:space="0" w:color="auto"/>
                <w:left w:val="none" w:sz="0" w:space="0" w:color="auto"/>
                <w:bottom w:val="none" w:sz="0" w:space="0" w:color="auto"/>
                <w:right w:val="none" w:sz="0" w:space="0" w:color="auto"/>
              </w:divBdr>
              <w:divsChild>
                <w:div w:id="637223040">
                  <w:marLeft w:val="0"/>
                  <w:marRight w:val="0"/>
                  <w:marTop w:val="0"/>
                  <w:marBottom w:val="0"/>
                  <w:divBdr>
                    <w:top w:val="none" w:sz="0" w:space="0" w:color="auto"/>
                    <w:left w:val="none" w:sz="0" w:space="0" w:color="auto"/>
                    <w:bottom w:val="none" w:sz="0" w:space="0" w:color="auto"/>
                    <w:right w:val="none" w:sz="0" w:space="0" w:color="auto"/>
                  </w:divBdr>
                  <w:divsChild>
                    <w:div w:id="160507174">
                      <w:marLeft w:val="0"/>
                      <w:marRight w:val="0"/>
                      <w:marTop w:val="0"/>
                      <w:marBottom w:val="0"/>
                      <w:divBdr>
                        <w:top w:val="none" w:sz="0" w:space="0" w:color="auto"/>
                        <w:left w:val="none" w:sz="0" w:space="0" w:color="auto"/>
                        <w:bottom w:val="none" w:sz="0" w:space="0" w:color="auto"/>
                        <w:right w:val="none" w:sz="0" w:space="0" w:color="auto"/>
                      </w:divBdr>
                      <w:divsChild>
                        <w:div w:id="233707482">
                          <w:marLeft w:val="0"/>
                          <w:marRight w:val="0"/>
                          <w:marTop w:val="0"/>
                          <w:marBottom w:val="0"/>
                          <w:divBdr>
                            <w:top w:val="none" w:sz="0" w:space="0" w:color="auto"/>
                            <w:left w:val="none" w:sz="0" w:space="0" w:color="auto"/>
                            <w:bottom w:val="none" w:sz="0" w:space="0" w:color="auto"/>
                            <w:right w:val="none" w:sz="0" w:space="0" w:color="auto"/>
                          </w:divBdr>
                          <w:divsChild>
                            <w:div w:id="2144735734">
                              <w:marLeft w:val="0"/>
                              <w:marRight w:val="0"/>
                              <w:marTop w:val="0"/>
                              <w:marBottom w:val="0"/>
                              <w:divBdr>
                                <w:top w:val="none" w:sz="0" w:space="0" w:color="auto"/>
                                <w:left w:val="none" w:sz="0" w:space="0" w:color="auto"/>
                                <w:bottom w:val="none" w:sz="0" w:space="0" w:color="auto"/>
                                <w:right w:val="none" w:sz="0" w:space="0" w:color="auto"/>
                              </w:divBdr>
                              <w:divsChild>
                                <w:div w:id="1818643545">
                                  <w:marLeft w:val="0"/>
                                  <w:marRight w:val="0"/>
                                  <w:marTop w:val="0"/>
                                  <w:marBottom w:val="0"/>
                                  <w:divBdr>
                                    <w:top w:val="none" w:sz="0" w:space="0" w:color="auto"/>
                                    <w:left w:val="none" w:sz="0" w:space="0" w:color="auto"/>
                                    <w:bottom w:val="none" w:sz="0" w:space="0" w:color="auto"/>
                                    <w:right w:val="none" w:sz="0" w:space="0" w:color="auto"/>
                                  </w:divBdr>
                                  <w:divsChild>
                                    <w:div w:id="211621772">
                                      <w:marLeft w:val="0"/>
                                      <w:marRight w:val="0"/>
                                      <w:marTop w:val="0"/>
                                      <w:marBottom w:val="0"/>
                                      <w:divBdr>
                                        <w:top w:val="none" w:sz="0" w:space="0" w:color="auto"/>
                                        <w:left w:val="none" w:sz="0" w:space="0" w:color="auto"/>
                                        <w:bottom w:val="none" w:sz="0" w:space="0" w:color="auto"/>
                                        <w:right w:val="none" w:sz="0" w:space="0" w:color="auto"/>
                                      </w:divBdr>
                                      <w:divsChild>
                                        <w:div w:id="111293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72474986">
          <w:marLeft w:val="0"/>
          <w:marRight w:val="0"/>
          <w:marTop w:val="0"/>
          <w:marBottom w:val="0"/>
          <w:divBdr>
            <w:top w:val="none" w:sz="0" w:space="0" w:color="auto"/>
            <w:left w:val="none" w:sz="0" w:space="0" w:color="auto"/>
            <w:bottom w:val="none" w:sz="0" w:space="0" w:color="auto"/>
            <w:right w:val="none" w:sz="0" w:space="0" w:color="auto"/>
          </w:divBdr>
          <w:divsChild>
            <w:div w:id="625232142">
              <w:marLeft w:val="0"/>
              <w:marRight w:val="0"/>
              <w:marTop w:val="0"/>
              <w:marBottom w:val="0"/>
              <w:divBdr>
                <w:top w:val="none" w:sz="0" w:space="0" w:color="auto"/>
                <w:left w:val="none" w:sz="0" w:space="0" w:color="auto"/>
                <w:bottom w:val="none" w:sz="0" w:space="0" w:color="auto"/>
                <w:right w:val="none" w:sz="0" w:space="0" w:color="auto"/>
              </w:divBdr>
              <w:divsChild>
                <w:div w:id="510029392">
                  <w:marLeft w:val="0"/>
                  <w:marRight w:val="0"/>
                  <w:marTop w:val="0"/>
                  <w:marBottom w:val="0"/>
                  <w:divBdr>
                    <w:top w:val="none" w:sz="0" w:space="0" w:color="auto"/>
                    <w:left w:val="none" w:sz="0" w:space="0" w:color="auto"/>
                    <w:bottom w:val="none" w:sz="0" w:space="0" w:color="auto"/>
                    <w:right w:val="none" w:sz="0" w:space="0" w:color="auto"/>
                  </w:divBdr>
                  <w:divsChild>
                    <w:div w:id="746652953">
                      <w:marLeft w:val="0"/>
                      <w:marRight w:val="0"/>
                      <w:marTop w:val="0"/>
                      <w:marBottom w:val="0"/>
                      <w:divBdr>
                        <w:top w:val="none" w:sz="0" w:space="0" w:color="auto"/>
                        <w:left w:val="none" w:sz="0" w:space="0" w:color="auto"/>
                        <w:bottom w:val="none" w:sz="0" w:space="0" w:color="auto"/>
                        <w:right w:val="none" w:sz="0" w:space="0" w:color="auto"/>
                      </w:divBdr>
                      <w:divsChild>
                        <w:div w:id="1195846236">
                          <w:marLeft w:val="0"/>
                          <w:marRight w:val="0"/>
                          <w:marTop w:val="0"/>
                          <w:marBottom w:val="0"/>
                          <w:divBdr>
                            <w:top w:val="none" w:sz="0" w:space="0" w:color="auto"/>
                            <w:left w:val="none" w:sz="0" w:space="0" w:color="auto"/>
                            <w:bottom w:val="none" w:sz="0" w:space="0" w:color="auto"/>
                            <w:right w:val="none" w:sz="0" w:space="0" w:color="auto"/>
                          </w:divBdr>
                          <w:divsChild>
                            <w:div w:id="784734051">
                              <w:marLeft w:val="0"/>
                              <w:marRight w:val="0"/>
                              <w:marTop w:val="0"/>
                              <w:marBottom w:val="0"/>
                              <w:divBdr>
                                <w:top w:val="none" w:sz="0" w:space="0" w:color="auto"/>
                                <w:left w:val="none" w:sz="0" w:space="0" w:color="auto"/>
                                <w:bottom w:val="none" w:sz="0" w:space="0" w:color="auto"/>
                                <w:right w:val="none" w:sz="0" w:space="0" w:color="auto"/>
                              </w:divBdr>
                              <w:divsChild>
                                <w:div w:id="580260346">
                                  <w:marLeft w:val="0"/>
                                  <w:marRight w:val="0"/>
                                  <w:marTop w:val="0"/>
                                  <w:marBottom w:val="0"/>
                                  <w:divBdr>
                                    <w:top w:val="none" w:sz="0" w:space="0" w:color="auto"/>
                                    <w:left w:val="none" w:sz="0" w:space="0" w:color="auto"/>
                                    <w:bottom w:val="none" w:sz="0" w:space="0" w:color="auto"/>
                                    <w:right w:val="none" w:sz="0" w:space="0" w:color="auto"/>
                                  </w:divBdr>
                                  <w:divsChild>
                                    <w:div w:id="1700162892">
                                      <w:marLeft w:val="0"/>
                                      <w:marRight w:val="0"/>
                                      <w:marTop w:val="0"/>
                                      <w:marBottom w:val="0"/>
                                      <w:divBdr>
                                        <w:top w:val="none" w:sz="0" w:space="0" w:color="auto"/>
                                        <w:left w:val="none" w:sz="0" w:space="0" w:color="auto"/>
                                        <w:bottom w:val="none" w:sz="0" w:space="0" w:color="auto"/>
                                        <w:right w:val="none" w:sz="0" w:space="0" w:color="auto"/>
                                      </w:divBdr>
                                      <w:divsChild>
                                        <w:div w:id="599411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66522735">
          <w:marLeft w:val="0"/>
          <w:marRight w:val="0"/>
          <w:marTop w:val="0"/>
          <w:marBottom w:val="0"/>
          <w:divBdr>
            <w:top w:val="none" w:sz="0" w:space="0" w:color="auto"/>
            <w:left w:val="none" w:sz="0" w:space="0" w:color="auto"/>
            <w:bottom w:val="none" w:sz="0" w:space="0" w:color="auto"/>
            <w:right w:val="none" w:sz="0" w:space="0" w:color="auto"/>
          </w:divBdr>
          <w:divsChild>
            <w:div w:id="2147162412">
              <w:marLeft w:val="0"/>
              <w:marRight w:val="0"/>
              <w:marTop w:val="0"/>
              <w:marBottom w:val="0"/>
              <w:divBdr>
                <w:top w:val="none" w:sz="0" w:space="0" w:color="auto"/>
                <w:left w:val="none" w:sz="0" w:space="0" w:color="auto"/>
                <w:bottom w:val="none" w:sz="0" w:space="0" w:color="auto"/>
                <w:right w:val="none" w:sz="0" w:space="0" w:color="auto"/>
              </w:divBdr>
              <w:divsChild>
                <w:div w:id="945623598">
                  <w:marLeft w:val="0"/>
                  <w:marRight w:val="0"/>
                  <w:marTop w:val="0"/>
                  <w:marBottom w:val="0"/>
                  <w:divBdr>
                    <w:top w:val="none" w:sz="0" w:space="0" w:color="auto"/>
                    <w:left w:val="none" w:sz="0" w:space="0" w:color="auto"/>
                    <w:bottom w:val="none" w:sz="0" w:space="0" w:color="auto"/>
                    <w:right w:val="none" w:sz="0" w:space="0" w:color="auto"/>
                  </w:divBdr>
                  <w:divsChild>
                    <w:div w:id="629942987">
                      <w:marLeft w:val="0"/>
                      <w:marRight w:val="0"/>
                      <w:marTop w:val="0"/>
                      <w:marBottom w:val="0"/>
                      <w:divBdr>
                        <w:top w:val="none" w:sz="0" w:space="0" w:color="auto"/>
                        <w:left w:val="none" w:sz="0" w:space="0" w:color="auto"/>
                        <w:bottom w:val="none" w:sz="0" w:space="0" w:color="auto"/>
                        <w:right w:val="none" w:sz="0" w:space="0" w:color="auto"/>
                      </w:divBdr>
                      <w:divsChild>
                        <w:div w:id="228659362">
                          <w:marLeft w:val="0"/>
                          <w:marRight w:val="0"/>
                          <w:marTop w:val="0"/>
                          <w:marBottom w:val="0"/>
                          <w:divBdr>
                            <w:top w:val="none" w:sz="0" w:space="0" w:color="auto"/>
                            <w:left w:val="none" w:sz="0" w:space="0" w:color="auto"/>
                            <w:bottom w:val="none" w:sz="0" w:space="0" w:color="auto"/>
                            <w:right w:val="none" w:sz="0" w:space="0" w:color="auto"/>
                          </w:divBdr>
                          <w:divsChild>
                            <w:div w:id="2095006888">
                              <w:marLeft w:val="0"/>
                              <w:marRight w:val="0"/>
                              <w:marTop w:val="0"/>
                              <w:marBottom w:val="0"/>
                              <w:divBdr>
                                <w:top w:val="none" w:sz="0" w:space="0" w:color="auto"/>
                                <w:left w:val="none" w:sz="0" w:space="0" w:color="auto"/>
                                <w:bottom w:val="none" w:sz="0" w:space="0" w:color="auto"/>
                                <w:right w:val="none" w:sz="0" w:space="0" w:color="auto"/>
                              </w:divBdr>
                              <w:divsChild>
                                <w:div w:id="476066646">
                                  <w:marLeft w:val="0"/>
                                  <w:marRight w:val="0"/>
                                  <w:marTop w:val="0"/>
                                  <w:marBottom w:val="0"/>
                                  <w:divBdr>
                                    <w:top w:val="none" w:sz="0" w:space="0" w:color="auto"/>
                                    <w:left w:val="none" w:sz="0" w:space="0" w:color="auto"/>
                                    <w:bottom w:val="none" w:sz="0" w:space="0" w:color="auto"/>
                                    <w:right w:val="none" w:sz="0" w:space="0" w:color="auto"/>
                                  </w:divBdr>
                                  <w:divsChild>
                                    <w:div w:id="1606300693">
                                      <w:marLeft w:val="0"/>
                                      <w:marRight w:val="0"/>
                                      <w:marTop w:val="0"/>
                                      <w:marBottom w:val="0"/>
                                      <w:divBdr>
                                        <w:top w:val="none" w:sz="0" w:space="0" w:color="auto"/>
                                        <w:left w:val="none" w:sz="0" w:space="0" w:color="auto"/>
                                        <w:bottom w:val="none" w:sz="0" w:space="0" w:color="auto"/>
                                        <w:right w:val="none" w:sz="0" w:space="0" w:color="auto"/>
                                      </w:divBdr>
                                      <w:divsChild>
                                        <w:div w:id="216625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26294875">
          <w:marLeft w:val="0"/>
          <w:marRight w:val="0"/>
          <w:marTop w:val="0"/>
          <w:marBottom w:val="0"/>
          <w:divBdr>
            <w:top w:val="none" w:sz="0" w:space="0" w:color="auto"/>
            <w:left w:val="none" w:sz="0" w:space="0" w:color="auto"/>
            <w:bottom w:val="none" w:sz="0" w:space="0" w:color="auto"/>
            <w:right w:val="none" w:sz="0" w:space="0" w:color="auto"/>
          </w:divBdr>
          <w:divsChild>
            <w:div w:id="885331791">
              <w:marLeft w:val="0"/>
              <w:marRight w:val="0"/>
              <w:marTop w:val="0"/>
              <w:marBottom w:val="0"/>
              <w:divBdr>
                <w:top w:val="none" w:sz="0" w:space="0" w:color="auto"/>
                <w:left w:val="none" w:sz="0" w:space="0" w:color="auto"/>
                <w:bottom w:val="none" w:sz="0" w:space="0" w:color="auto"/>
                <w:right w:val="none" w:sz="0" w:space="0" w:color="auto"/>
              </w:divBdr>
              <w:divsChild>
                <w:div w:id="1881285522">
                  <w:marLeft w:val="0"/>
                  <w:marRight w:val="0"/>
                  <w:marTop w:val="0"/>
                  <w:marBottom w:val="0"/>
                  <w:divBdr>
                    <w:top w:val="none" w:sz="0" w:space="0" w:color="auto"/>
                    <w:left w:val="none" w:sz="0" w:space="0" w:color="auto"/>
                    <w:bottom w:val="none" w:sz="0" w:space="0" w:color="auto"/>
                    <w:right w:val="none" w:sz="0" w:space="0" w:color="auto"/>
                  </w:divBdr>
                  <w:divsChild>
                    <w:div w:id="1199127045">
                      <w:marLeft w:val="0"/>
                      <w:marRight w:val="0"/>
                      <w:marTop w:val="0"/>
                      <w:marBottom w:val="0"/>
                      <w:divBdr>
                        <w:top w:val="none" w:sz="0" w:space="0" w:color="auto"/>
                        <w:left w:val="none" w:sz="0" w:space="0" w:color="auto"/>
                        <w:bottom w:val="none" w:sz="0" w:space="0" w:color="auto"/>
                        <w:right w:val="none" w:sz="0" w:space="0" w:color="auto"/>
                      </w:divBdr>
                      <w:divsChild>
                        <w:div w:id="1100297361">
                          <w:marLeft w:val="0"/>
                          <w:marRight w:val="0"/>
                          <w:marTop w:val="0"/>
                          <w:marBottom w:val="0"/>
                          <w:divBdr>
                            <w:top w:val="none" w:sz="0" w:space="0" w:color="auto"/>
                            <w:left w:val="none" w:sz="0" w:space="0" w:color="auto"/>
                            <w:bottom w:val="none" w:sz="0" w:space="0" w:color="auto"/>
                            <w:right w:val="none" w:sz="0" w:space="0" w:color="auto"/>
                          </w:divBdr>
                          <w:divsChild>
                            <w:div w:id="1594431221">
                              <w:marLeft w:val="0"/>
                              <w:marRight w:val="0"/>
                              <w:marTop w:val="0"/>
                              <w:marBottom w:val="0"/>
                              <w:divBdr>
                                <w:top w:val="none" w:sz="0" w:space="0" w:color="auto"/>
                                <w:left w:val="none" w:sz="0" w:space="0" w:color="auto"/>
                                <w:bottom w:val="none" w:sz="0" w:space="0" w:color="auto"/>
                                <w:right w:val="none" w:sz="0" w:space="0" w:color="auto"/>
                              </w:divBdr>
                              <w:divsChild>
                                <w:div w:id="600573962">
                                  <w:marLeft w:val="0"/>
                                  <w:marRight w:val="0"/>
                                  <w:marTop w:val="0"/>
                                  <w:marBottom w:val="0"/>
                                  <w:divBdr>
                                    <w:top w:val="none" w:sz="0" w:space="0" w:color="auto"/>
                                    <w:left w:val="none" w:sz="0" w:space="0" w:color="auto"/>
                                    <w:bottom w:val="none" w:sz="0" w:space="0" w:color="auto"/>
                                    <w:right w:val="none" w:sz="0" w:space="0" w:color="auto"/>
                                  </w:divBdr>
                                  <w:divsChild>
                                    <w:div w:id="800539583">
                                      <w:marLeft w:val="0"/>
                                      <w:marRight w:val="0"/>
                                      <w:marTop w:val="0"/>
                                      <w:marBottom w:val="0"/>
                                      <w:divBdr>
                                        <w:top w:val="none" w:sz="0" w:space="0" w:color="auto"/>
                                        <w:left w:val="none" w:sz="0" w:space="0" w:color="auto"/>
                                        <w:bottom w:val="none" w:sz="0" w:space="0" w:color="auto"/>
                                        <w:right w:val="none" w:sz="0" w:space="0" w:color="auto"/>
                                      </w:divBdr>
                                      <w:divsChild>
                                        <w:div w:id="2029671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48458893">
          <w:marLeft w:val="0"/>
          <w:marRight w:val="0"/>
          <w:marTop w:val="0"/>
          <w:marBottom w:val="0"/>
          <w:divBdr>
            <w:top w:val="none" w:sz="0" w:space="0" w:color="auto"/>
            <w:left w:val="none" w:sz="0" w:space="0" w:color="auto"/>
            <w:bottom w:val="none" w:sz="0" w:space="0" w:color="auto"/>
            <w:right w:val="none" w:sz="0" w:space="0" w:color="auto"/>
          </w:divBdr>
          <w:divsChild>
            <w:div w:id="753671218">
              <w:marLeft w:val="0"/>
              <w:marRight w:val="0"/>
              <w:marTop w:val="0"/>
              <w:marBottom w:val="0"/>
              <w:divBdr>
                <w:top w:val="none" w:sz="0" w:space="0" w:color="auto"/>
                <w:left w:val="none" w:sz="0" w:space="0" w:color="auto"/>
                <w:bottom w:val="none" w:sz="0" w:space="0" w:color="auto"/>
                <w:right w:val="none" w:sz="0" w:space="0" w:color="auto"/>
              </w:divBdr>
              <w:divsChild>
                <w:div w:id="313725167">
                  <w:marLeft w:val="0"/>
                  <w:marRight w:val="0"/>
                  <w:marTop w:val="0"/>
                  <w:marBottom w:val="0"/>
                  <w:divBdr>
                    <w:top w:val="none" w:sz="0" w:space="0" w:color="auto"/>
                    <w:left w:val="none" w:sz="0" w:space="0" w:color="auto"/>
                    <w:bottom w:val="none" w:sz="0" w:space="0" w:color="auto"/>
                    <w:right w:val="none" w:sz="0" w:space="0" w:color="auto"/>
                  </w:divBdr>
                  <w:divsChild>
                    <w:div w:id="712462028">
                      <w:marLeft w:val="0"/>
                      <w:marRight w:val="0"/>
                      <w:marTop w:val="0"/>
                      <w:marBottom w:val="0"/>
                      <w:divBdr>
                        <w:top w:val="none" w:sz="0" w:space="0" w:color="auto"/>
                        <w:left w:val="none" w:sz="0" w:space="0" w:color="auto"/>
                        <w:bottom w:val="none" w:sz="0" w:space="0" w:color="auto"/>
                        <w:right w:val="none" w:sz="0" w:space="0" w:color="auto"/>
                      </w:divBdr>
                      <w:divsChild>
                        <w:div w:id="1277638274">
                          <w:marLeft w:val="0"/>
                          <w:marRight w:val="0"/>
                          <w:marTop w:val="0"/>
                          <w:marBottom w:val="0"/>
                          <w:divBdr>
                            <w:top w:val="none" w:sz="0" w:space="0" w:color="auto"/>
                            <w:left w:val="none" w:sz="0" w:space="0" w:color="auto"/>
                            <w:bottom w:val="none" w:sz="0" w:space="0" w:color="auto"/>
                            <w:right w:val="none" w:sz="0" w:space="0" w:color="auto"/>
                          </w:divBdr>
                          <w:divsChild>
                            <w:div w:id="448087043">
                              <w:marLeft w:val="0"/>
                              <w:marRight w:val="0"/>
                              <w:marTop w:val="0"/>
                              <w:marBottom w:val="0"/>
                              <w:divBdr>
                                <w:top w:val="none" w:sz="0" w:space="0" w:color="auto"/>
                                <w:left w:val="none" w:sz="0" w:space="0" w:color="auto"/>
                                <w:bottom w:val="none" w:sz="0" w:space="0" w:color="auto"/>
                                <w:right w:val="none" w:sz="0" w:space="0" w:color="auto"/>
                              </w:divBdr>
                              <w:divsChild>
                                <w:div w:id="1931307797">
                                  <w:marLeft w:val="0"/>
                                  <w:marRight w:val="0"/>
                                  <w:marTop w:val="0"/>
                                  <w:marBottom w:val="0"/>
                                  <w:divBdr>
                                    <w:top w:val="none" w:sz="0" w:space="0" w:color="auto"/>
                                    <w:left w:val="none" w:sz="0" w:space="0" w:color="auto"/>
                                    <w:bottom w:val="none" w:sz="0" w:space="0" w:color="auto"/>
                                    <w:right w:val="none" w:sz="0" w:space="0" w:color="auto"/>
                                  </w:divBdr>
                                  <w:divsChild>
                                    <w:div w:id="352149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29994321">
                  <w:marLeft w:val="0"/>
                  <w:marRight w:val="0"/>
                  <w:marTop w:val="0"/>
                  <w:marBottom w:val="0"/>
                  <w:divBdr>
                    <w:top w:val="none" w:sz="0" w:space="0" w:color="auto"/>
                    <w:left w:val="none" w:sz="0" w:space="0" w:color="auto"/>
                    <w:bottom w:val="none" w:sz="0" w:space="0" w:color="auto"/>
                    <w:right w:val="none" w:sz="0" w:space="0" w:color="auto"/>
                  </w:divBdr>
                  <w:divsChild>
                    <w:div w:id="2062358681">
                      <w:marLeft w:val="0"/>
                      <w:marRight w:val="0"/>
                      <w:marTop w:val="0"/>
                      <w:marBottom w:val="0"/>
                      <w:divBdr>
                        <w:top w:val="none" w:sz="0" w:space="0" w:color="auto"/>
                        <w:left w:val="none" w:sz="0" w:space="0" w:color="auto"/>
                        <w:bottom w:val="none" w:sz="0" w:space="0" w:color="auto"/>
                        <w:right w:val="none" w:sz="0" w:space="0" w:color="auto"/>
                      </w:divBdr>
                      <w:divsChild>
                        <w:div w:id="1545218351">
                          <w:marLeft w:val="0"/>
                          <w:marRight w:val="0"/>
                          <w:marTop w:val="0"/>
                          <w:marBottom w:val="0"/>
                          <w:divBdr>
                            <w:top w:val="none" w:sz="0" w:space="0" w:color="auto"/>
                            <w:left w:val="none" w:sz="0" w:space="0" w:color="auto"/>
                            <w:bottom w:val="none" w:sz="0" w:space="0" w:color="auto"/>
                            <w:right w:val="none" w:sz="0" w:space="0" w:color="auto"/>
                          </w:divBdr>
                          <w:divsChild>
                            <w:div w:id="333269710">
                              <w:marLeft w:val="0"/>
                              <w:marRight w:val="0"/>
                              <w:marTop w:val="0"/>
                              <w:marBottom w:val="0"/>
                              <w:divBdr>
                                <w:top w:val="none" w:sz="0" w:space="0" w:color="auto"/>
                                <w:left w:val="none" w:sz="0" w:space="0" w:color="auto"/>
                                <w:bottom w:val="none" w:sz="0" w:space="0" w:color="auto"/>
                                <w:right w:val="none" w:sz="0" w:space="0" w:color="auto"/>
                              </w:divBdr>
                              <w:divsChild>
                                <w:div w:id="1521241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42456058">
          <w:marLeft w:val="0"/>
          <w:marRight w:val="0"/>
          <w:marTop w:val="0"/>
          <w:marBottom w:val="0"/>
          <w:divBdr>
            <w:top w:val="none" w:sz="0" w:space="0" w:color="auto"/>
            <w:left w:val="none" w:sz="0" w:space="0" w:color="auto"/>
            <w:bottom w:val="none" w:sz="0" w:space="0" w:color="auto"/>
            <w:right w:val="none" w:sz="0" w:space="0" w:color="auto"/>
          </w:divBdr>
          <w:divsChild>
            <w:div w:id="753091597">
              <w:marLeft w:val="0"/>
              <w:marRight w:val="0"/>
              <w:marTop w:val="0"/>
              <w:marBottom w:val="0"/>
              <w:divBdr>
                <w:top w:val="none" w:sz="0" w:space="0" w:color="auto"/>
                <w:left w:val="none" w:sz="0" w:space="0" w:color="auto"/>
                <w:bottom w:val="none" w:sz="0" w:space="0" w:color="auto"/>
                <w:right w:val="none" w:sz="0" w:space="0" w:color="auto"/>
              </w:divBdr>
              <w:divsChild>
                <w:div w:id="1390231773">
                  <w:marLeft w:val="0"/>
                  <w:marRight w:val="0"/>
                  <w:marTop w:val="0"/>
                  <w:marBottom w:val="0"/>
                  <w:divBdr>
                    <w:top w:val="none" w:sz="0" w:space="0" w:color="auto"/>
                    <w:left w:val="none" w:sz="0" w:space="0" w:color="auto"/>
                    <w:bottom w:val="none" w:sz="0" w:space="0" w:color="auto"/>
                    <w:right w:val="none" w:sz="0" w:space="0" w:color="auto"/>
                  </w:divBdr>
                  <w:divsChild>
                    <w:div w:id="111870958">
                      <w:marLeft w:val="0"/>
                      <w:marRight w:val="0"/>
                      <w:marTop w:val="0"/>
                      <w:marBottom w:val="0"/>
                      <w:divBdr>
                        <w:top w:val="none" w:sz="0" w:space="0" w:color="auto"/>
                        <w:left w:val="none" w:sz="0" w:space="0" w:color="auto"/>
                        <w:bottom w:val="none" w:sz="0" w:space="0" w:color="auto"/>
                        <w:right w:val="none" w:sz="0" w:space="0" w:color="auto"/>
                      </w:divBdr>
                      <w:divsChild>
                        <w:div w:id="1364284949">
                          <w:marLeft w:val="0"/>
                          <w:marRight w:val="0"/>
                          <w:marTop w:val="0"/>
                          <w:marBottom w:val="0"/>
                          <w:divBdr>
                            <w:top w:val="none" w:sz="0" w:space="0" w:color="auto"/>
                            <w:left w:val="none" w:sz="0" w:space="0" w:color="auto"/>
                            <w:bottom w:val="none" w:sz="0" w:space="0" w:color="auto"/>
                            <w:right w:val="none" w:sz="0" w:space="0" w:color="auto"/>
                          </w:divBdr>
                          <w:divsChild>
                            <w:div w:id="2126924834">
                              <w:marLeft w:val="0"/>
                              <w:marRight w:val="0"/>
                              <w:marTop w:val="0"/>
                              <w:marBottom w:val="0"/>
                              <w:divBdr>
                                <w:top w:val="none" w:sz="0" w:space="0" w:color="auto"/>
                                <w:left w:val="none" w:sz="0" w:space="0" w:color="auto"/>
                                <w:bottom w:val="none" w:sz="0" w:space="0" w:color="auto"/>
                                <w:right w:val="none" w:sz="0" w:space="0" w:color="auto"/>
                              </w:divBdr>
                              <w:divsChild>
                                <w:div w:id="1564295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6856288">
                  <w:marLeft w:val="0"/>
                  <w:marRight w:val="0"/>
                  <w:marTop w:val="0"/>
                  <w:marBottom w:val="0"/>
                  <w:divBdr>
                    <w:top w:val="none" w:sz="0" w:space="0" w:color="auto"/>
                    <w:left w:val="none" w:sz="0" w:space="0" w:color="auto"/>
                    <w:bottom w:val="none" w:sz="0" w:space="0" w:color="auto"/>
                    <w:right w:val="none" w:sz="0" w:space="0" w:color="auto"/>
                  </w:divBdr>
                  <w:divsChild>
                    <w:div w:id="1011641507">
                      <w:marLeft w:val="0"/>
                      <w:marRight w:val="0"/>
                      <w:marTop w:val="0"/>
                      <w:marBottom w:val="0"/>
                      <w:divBdr>
                        <w:top w:val="none" w:sz="0" w:space="0" w:color="auto"/>
                        <w:left w:val="none" w:sz="0" w:space="0" w:color="auto"/>
                        <w:bottom w:val="none" w:sz="0" w:space="0" w:color="auto"/>
                        <w:right w:val="none" w:sz="0" w:space="0" w:color="auto"/>
                      </w:divBdr>
                      <w:divsChild>
                        <w:div w:id="1843817291">
                          <w:marLeft w:val="0"/>
                          <w:marRight w:val="0"/>
                          <w:marTop w:val="0"/>
                          <w:marBottom w:val="0"/>
                          <w:divBdr>
                            <w:top w:val="none" w:sz="0" w:space="0" w:color="auto"/>
                            <w:left w:val="none" w:sz="0" w:space="0" w:color="auto"/>
                            <w:bottom w:val="none" w:sz="0" w:space="0" w:color="auto"/>
                            <w:right w:val="none" w:sz="0" w:space="0" w:color="auto"/>
                          </w:divBdr>
                          <w:divsChild>
                            <w:div w:id="229116865">
                              <w:marLeft w:val="0"/>
                              <w:marRight w:val="0"/>
                              <w:marTop w:val="0"/>
                              <w:marBottom w:val="0"/>
                              <w:divBdr>
                                <w:top w:val="none" w:sz="0" w:space="0" w:color="auto"/>
                                <w:left w:val="none" w:sz="0" w:space="0" w:color="auto"/>
                                <w:bottom w:val="none" w:sz="0" w:space="0" w:color="auto"/>
                                <w:right w:val="none" w:sz="0" w:space="0" w:color="auto"/>
                              </w:divBdr>
                              <w:divsChild>
                                <w:div w:id="742609729">
                                  <w:marLeft w:val="0"/>
                                  <w:marRight w:val="0"/>
                                  <w:marTop w:val="0"/>
                                  <w:marBottom w:val="0"/>
                                  <w:divBdr>
                                    <w:top w:val="none" w:sz="0" w:space="0" w:color="auto"/>
                                    <w:left w:val="none" w:sz="0" w:space="0" w:color="auto"/>
                                    <w:bottom w:val="none" w:sz="0" w:space="0" w:color="auto"/>
                                    <w:right w:val="none" w:sz="0" w:space="0" w:color="auto"/>
                                  </w:divBdr>
                                  <w:divsChild>
                                    <w:div w:id="1908952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72722447">
          <w:marLeft w:val="0"/>
          <w:marRight w:val="0"/>
          <w:marTop w:val="0"/>
          <w:marBottom w:val="0"/>
          <w:divBdr>
            <w:top w:val="none" w:sz="0" w:space="0" w:color="auto"/>
            <w:left w:val="none" w:sz="0" w:space="0" w:color="auto"/>
            <w:bottom w:val="none" w:sz="0" w:space="0" w:color="auto"/>
            <w:right w:val="none" w:sz="0" w:space="0" w:color="auto"/>
          </w:divBdr>
          <w:divsChild>
            <w:div w:id="1206985565">
              <w:marLeft w:val="0"/>
              <w:marRight w:val="0"/>
              <w:marTop w:val="0"/>
              <w:marBottom w:val="0"/>
              <w:divBdr>
                <w:top w:val="none" w:sz="0" w:space="0" w:color="auto"/>
                <w:left w:val="none" w:sz="0" w:space="0" w:color="auto"/>
                <w:bottom w:val="none" w:sz="0" w:space="0" w:color="auto"/>
                <w:right w:val="none" w:sz="0" w:space="0" w:color="auto"/>
              </w:divBdr>
              <w:divsChild>
                <w:div w:id="1070927498">
                  <w:marLeft w:val="0"/>
                  <w:marRight w:val="0"/>
                  <w:marTop w:val="0"/>
                  <w:marBottom w:val="0"/>
                  <w:divBdr>
                    <w:top w:val="none" w:sz="0" w:space="0" w:color="auto"/>
                    <w:left w:val="none" w:sz="0" w:space="0" w:color="auto"/>
                    <w:bottom w:val="none" w:sz="0" w:space="0" w:color="auto"/>
                    <w:right w:val="none" w:sz="0" w:space="0" w:color="auto"/>
                  </w:divBdr>
                  <w:divsChild>
                    <w:div w:id="1387337164">
                      <w:marLeft w:val="0"/>
                      <w:marRight w:val="0"/>
                      <w:marTop w:val="0"/>
                      <w:marBottom w:val="0"/>
                      <w:divBdr>
                        <w:top w:val="none" w:sz="0" w:space="0" w:color="auto"/>
                        <w:left w:val="none" w:sz="0" w:space="0" w:color="auto"/>
                        <w:bottom w:val="none" w:sz="0" w:space="0" w:color="auto"/>
                        <w:right w:val="none" w:sz="0" w:space="0" w:color="auto"/>
                      </w:divBdr>
                    </w:div>
                    <w:div w:id="198195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5726602">
          <w:marLeft w:val="0"/>
          <w:marRight w:val="0"/>
          <w:marTop w:val="0"/>
          <w:marBottom w:val="0"/>
          <w:divBdr>
            <w:top w:val="none" w:sz="0" w:space="0" w:color="auto"/>
            <w:left w:val="none" w:sz="0" w:space="0" w:color="auto"/>
            <w:bottom w:val="none" w:sz="0" w:space="0" w:color="auto"/>
            <w:right w:val="none" w:sz="0" w:space="0" w:color="auto"/>
          </w:divBdr>
          <w:divsChild>
            <w:div w:id="276065032">
              <w:marLeft w:val="0"/>
              <w:marRight w:val="0"/>
              <w:marTop w:val="0"/>
              <w:marBottom w:val="0"/>
              <w:divBdr>
                <w:top w:val="none" w:sz="0" w:space="0" w:color="auto"/>
                <w:left w:val="none" w:sz="0" w:space="0" w:color="auto"/>
                <w:bottom w:val="none" w:sz="0" w:space="0" w:color="auto"/>
                <w:right w:val="none" w:sz="0" w:space="0" w:color="auto"/>
              </w:divBdr>
              <w:divsChild>
                <w:div w:id="415710680">
                  <w:marLeft w:val="0"/>
                  <w:marRight w:val="0"/>
                  <w:marTop w:val="0"/>
                  <w:marBottom w:val="0"/>
                  <w:divBdr>
                    <w:top w:val="none" w:sz="0" w:space="0" w:color="auto"/>
                    <w:left w:val="none" w:sz="0" w:space="0" w:color="auto"/>
                    <w:bottom w:val="none" w:sz="0" w:space="0" w:color="auto"/>
                    <w:right w:val="none" w:sz="0" w:space="0" w:color="auto"/>
                  </w:divBdr>
                  <w:divsChild>
                    <w:div w:id="1677263155">
                      <w:marLeft w:val="0"/>
                      <w:marRight w:val="0"/>
                      <w:marTop w:val="0"/>
                      <w:marBottom w:val="0"/>
                      <w:divBdr>
                        <w:top w:val="none" w:sz="0" w:space="0" w:color="auto"/>
                        <w:left w:val="none" w:sz="0" w:space="0" w:color="auto"/>
                        <w:bottom w:val="none" w:sz="0" w:space="0" w:color="auto"/>
                        <w:right w:val="none" w:sz="0" w:space="0" w:color="auto"/>
                      </w:divBdr>
                      <w:divsChild>
                        <w:div w:id="676423880">
                          <w:marLeft w:val="0"/>
                          <w:marRight w:val="0"/>
                          <w:marTop w:val="0"/>
                          <w:marBottom w:val="0"/>
                          <w:divBdr>
                            <w:top w:val="none" w:sz="0" w:space="0" w:color="auto"/>
                            <w:left w:val="none" w:sz="0" w:space="0" w:color="auto"/>
                            <w:bottom w:val="none" w:sz="0" w:space="0" w:color="auto"/>
                            <w:right w:val="none" w:sz="0" w:space="0" w:color="auto"/>
                          </w:divBdr>
                          <w:divsChild>
                            <w:div w:id="104547407">
                              <w:marLeft w:val="0"/>
                              <w:marRight w:val="0"/>
                              <w:marTop w:val="0"/>
                              <w:marBottom w:val="0"/>
                              <w:divBdr>
                                <w:top w:val="none" w:sz="0" w:space="0" w:color="auto"/>
                                <w:left w:val="none" w:sz="0" w:space="0" w:color="auto"/>
                                <w:bottom w:val="none" w:sz="0" w:space="0" w:color="auto"/>
                                <w:right w:val="none" w:sz="0" w:space="0" w:color="auto"/>
                              </w:divBdr>
                              <w:divsChild>
                                <w:div w:id="1012756965">
                                  <w:marLeft w:val="0"/>
                                  <w:marRight w:val="0"/>
                                  <w:marTop w:val="0"/>
                                  <w:marBottom w:val="0"/>
                                  <w:divBdr>
                                    <w:top w:val="none" w:sz="0" w:space="0" w:color="auto"/>
                                    <w:left w:val="none" w:sz="0" w:space="0" w:color="auto"/>
                                    <w:bottom w:val="none" w:sz="0" w:space="0" w:color="auto"/>
                                    <w:right w:val="none" w:sz="0" w:space="0" w:color="auto"/>
                                  </w:divBdr>
                                  <w:divsChild>
                                    <w:div w:id="192765049">
                                      <w:marLeft w:val="0"/>
                                      <w:marRight w:val="0"/>
                                      <w:marTop w:val="0"/>
                                      <w:marBottom w:val="0"/>
                                      <w:divBdr>
                                        <w:top w:val="none" w:sz="0" w:space="0" w:color="auto"/>
                                        <w:left w:val="none" w:sz="0" w:space="0" w:color="auto"/>
                                        <w:bottom w:val="none" w:sz="0" w:space="0" w:color="auto"/>
                                        <w:right w:val="none" w:sz="0" w:space="0" w:color="auto"/>
                                      </w:divBdr>
                                      <w:divsChild>
                                        <w:div w:id="310066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52621480">
          <w:marLeft w:val="0"/>
          <w:marRight w:val="0"/>
          <w:marTop w:val="0"/>
          <w:marBottom w:val="0"/>
          <w:divBdr>
            <w:top w:val="none" w:sz="0" w:space="0" w:color="auto"/>
            <w:left w:val="none" w:sz="0" w:space="0" w:color="auto"/>
            <w:bottom w:val="none" w:sz="0" w:space="0" w:color="auto"/>
            <w:right w:val="none" w:sz="0" w:space="0" w:color="auto"/>
          </w:divBdr>
          <w:divsChild>
            <w:div w:id="1704592586">
              <w:marLeft w:val="0"/>
              <w:marRight w:val="0"/>
              <w:marTop w:val="0"/>
              <w:marBottom w:val="0"/>
              <w:divBdr>
                <w:top w:val="none" w:sz="0" w:space="0" w:color="auto"/>
                <w:left w:val="none" w:sz="0" w:space="0" w:color="auto"/>
                <w:bottom w:val="none" w:sz="0" w:space="0" w:color="auto"/>
                <w:right w:val="none" w:sz="0" w:space="0" w:color="auto"/>
              </w:divBdr>
              <w:divsChild>
                <w:div w:id="1604143635">
                  <w:marLeft w:val="0"/>
                  <w:marRight w:val="0"/>
                  <w:marTop w:val="0"/>
                  <w:marBottom w:val="0"/>
                  <w:divBdr>
                    <w:top w:val="none" w:sz="0" w:space="0" w:color="auto"/>
                    <w:left w:val="none" w:sz="0" w:space="0" w:color="auto"/>
                    <w:bottom w:val="none" w:sz="0" w:space="0" w:color="auto"/>
                    <w:right w:val="none" w:sz="0" w:space="0" w:color="auto"/>
                  </w:divBdr>
                  <w:divsChild>
                    <w:div w:id="922254137">
                      <w:marLeft w:val="0"/>
                      <w:marRight w:val="0"/>
                      <w:marTop w:val="0"/>
                      <w:marBottom w:val="0"/>
                      <w:divBdr>
                        <w:top w:val="none" w:sz="0" w:space="0" w:color="auto"/>
                        <w:left w:val="none" w:sz="0" w:space="0" w:color="auto"/>
                        <w:bottom w:val="none" w:sz="0" w:space="0" w:color="auto"/>
                        <w:right w:val="none" w:sz="0" w:space="0" w:color="auto"/>
                      </w:divBdr>
                      <w:divsChild>
                        <w:div w:id="2125996299">
                          <w:marLeft w:val="0"/>
                          <w:marRight w:val="0"/>
                          <w:marTop w:val="0"/>
                          <w:marBottom w:val="0"/>
                          <w:divBdr>
                            <w:top w:val="none" w:sz="0" w:space="0" w:color="auto"/>
                            <w:left w:val="none" w:sz="0" w:space="0" w:color="auto"/>
                            <w:bottom w:val="none" w:sz="0" w:space="0" w:color="auto"/>
                            <w:right w:val="none" w:sz="0" w:space="0" w:color="auto"/>
                          </w:divBdr>
                          <w:divsChild>
                            <w:div w:id="821193805">
                              <w:marLeft w:val="0"/>
                              <w:marRight w:val="0"/>
                              <w:marTop w:val="0"/>
                              <w:marBottom w:val="0"/>
                              <w:divBdr>
                                <w:top w:val="none" w:sz="0" w:space="0" w:color="auto"/>
                                <w:left w:val="none" w:sz="0" w:space="0" w:color="auto"/>
                                <w:bottom w:val="none" w:sz="0" w:space="0" w:color="auto"/>
                                <w:right w:val="none" w:sz="0" w:space="0" w:color="auto"/>
                              </w:divBdr>
                              <w:divsChild>
                                <w:div w:id="1971471466">
                                  <w:marLeft w:val="0"/>
                                  <w:marRight w:val="0"/>
                                  <w:marTop w:val="0"/>
                                  <w:marBottom w:val="0"/>
                                  <w:divBdr>
                                    <w:top w:val="none" w:sz="0" w:space="0" w:color="auto"/>
                                    <w:left w:val="none" w:sz="0" w:space="0" w:color="auto"/>
                                    <w:bottom w:val="none" w:sz="0" w:space="0" w:color="auto"/>
                                    <w:right w:val="none" w:sz="0" w:space="0" w:color="auto"/>
                                  </w:divBdr>
                                  <w:divsChild>
                                    <w:div w:id="1501778399">
                                      <w:marLeft w:val="0"/>
                                      <w:marRight w:val="0"/>
                                      <w:marTop w:val="0"/>
                                      <w:marBottom w:val="0"/>
                                      <w:divBdr>
                                        <w:top w:val="none" w:sz="0" w:space="0" w:color="auto"/>
                                        <w:left w:val="none" w:sz="0" w:space="0" w:color="auto"/>
                                        <w:bottom w:val="none" w:sz="0" w:space="0" w:color="auto"/>
                                        <w:right w:val="none" w:sz="0" w:space="0" w:color="auto"/>
                                      </w:divBdr>
                                      <w:divsChild>
                                        <w:div w:id="199865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93096934">
          <w:marLeft w:val="0"/>
          <w:marRight w:val="0"/>
          <w:marTop w:val="0"/>
          <w:marBottom w:val="0"/>
          <w:divBdr>
            <w:top w:val="none" w:sz="0" w:space="0" w:color="auto"/>
            <w:left w:val="none" w:sz="0" w:space="0" w:color="auto"/>
            <w:bottom w:val="none" w:sz="0" w:space="0" w:color="auto"/>
            <w:right w:val="none" w:sz="0" w:space="0" w:color="auto"/>
          </w:divBdr>
          <w:divsChild>
            <w:div w:id="51274774">
              <w:marLeft w:val="0"/>
              <w:marRight w:val="0"/>
              <w:marTop w:val="0"/>
              <w:marBottom w:val="0"/>
              <w:divBdr>
                <w:top w:val="none" w:sz="0" w:space="0" w:color="auto"/>
                <w:left w:val="none" w:sz="0" w:space="0" w:color="auto"/>
                <w:bottom w:val="none" w:sz="0" w:space="0" w:color="auto"/>
                <w:right w:val="none" w:sz="0" w:space="0" w:color="auto"/>
              </w:divBdr>
              <w:divsChild>
                <w:div w:id="710110341">
                  <w:marLeft w:val="0"/>
                  <w:marRight w:val="0"/>
                  <w:marTop w:val="0"/>
                  <w:marBottom w:val="0"/>
                  <w:divBdr>
                    <w:top w:val="none" w:sz="0" w:space="0" w:color="auto"/>
                    <w:left w:val="none" w:sz="0" w:space="0" w:color="auto"/>
                    <w:bottom w:val="none" w:sz="0" w:space="0" w:color="auto"/>
                    <w:right w:val="none" w:sz="0" w:space="0" w:color="auto"/>
                  </w:divBdr>
                  <w:divsChild>
                    <w:div w:id="77019912">
                      <w:marLeft w:val="0"/>
                      <w:marRight w:val="0"/>
                      <w:marTop w:val="0"/>
                      <w:marBottom w:val="0"/>
                      <w:divBdr>
                        <w:top w:val="none" w:sz="0" w:space="0" w:color="auto"/>
                        <w:left w:val="none" w:sz="0" w:space="0" w:color="auto"/>
                        <w:bottom w:val="none" w:sz="0" w:space="0" w:color="auto"/>
                        <w:right w:val="none" w:sz="0" w:space="0" w:color="auto"/>
                      </w:divBdr>
                      <w:divsChild>
                        <w:div w:id="1943567365">
                          <w:marLeft w:val="0"/>
                          <w:marRight w:val="0"/>
                          <w:marTop w:val="0"/>
                          <w:marBottom w:val="0"/>
                          <w:divBdr>
                            <w:top w:val="none" w:sz="0" w:space="0" w:color="auto"/>
                            <w:left w:val="none" w:sz="0" w:space="0" w:color="auto"/>
                            <w:bottom w:val="none" w:sz="0" w:space="0" w:color="auto"/>
                            <w:right w:val="none" w:sz="0" w:space="0" w:color="auto"/>
                          </w:divBdr>
                          <w:divsChild>
                            <w:div w:id="821238906">
                              <w:marLeft w:val="0"/>
                              <w:marRight w:val="0"/>
                              <w:marTop w:val="0"/>
                              <w:marBottom w:val="0"/>
                              <w:divBdr>
                                <w:top w:val="none" w:sz="0" w:space="0" w:color="auto"/>
                                <w:left w:val="none" w:sz="0" w:space="0" w:color="auto"/>
                                <w:bottom w:val="none" w:sz="0" w:space="0" w:color="auto"/>
                                <w:right w:val="none" w:sz="0" w:space="0" w:color="auto"/>
                              </w:divBdr>
                              <w:divsChild>
                                <w:div w:id="717054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5715586">
                  <w:marLeft w:val="0"/>
                  <w:marRight w:val="0"/>
                  <w:marTop w:val="0"/>
                  <w:marBottom w:val="0"/>
                  <w:divBdr>
                    <w:top w:val="none" w:sz="0" w:space="0" w:color="auto"/>
                    <w:left w:val="none" w:sz="0" w:space="0" w:color="auto"/>
                    <w:bottom w:val="none" w:sz="0" w:space="0" w:color="auto"/>
                    <w:right w:val="none" w:sz="0" w:space="0" w:color="auto"/>
                  </w:divBdr>
                  <w:divsChild>
                    <w:div w:id="1961960449">
                      <w:marLeft w:val="0"/>
                      <w:marRight w:val="0"/>
                      <w:marTop w:val="0"/>
                      <w:marBottom w:val="0"/>
                      <w:divBdr>
                        <w:top w:val="none" w:sz="0" w:space="0" w:color="auto"/>
                        <w:left w:val="none" w:sz="0" w:space="0" w:color="auto"/>
                        <w:bottom w:val="none" w:sz="0" w:space="0" w:color="auto"/>
                        <w:right w:val="none" w:sz="0" w:space="0" w:color="auto"/>
                      </w:divBdr>
                      <w:divsChild>
                        <w:div w:id="1009673570">
                          <w:marLeft w:val="0"/>
                          <w:marRight w:val="0"/>
                          <w:marTop w:val="0"/>
                          <w:marBottom w:val="0"/>
                          <w:divBdr>
                            <w:top w:val="none" w:sz="0" w:space="0" w:color="auto"/>
                            <w:left w:val="none" w:sz="0" w:space="0" w:color="auto"/>
                            <w:bottom w:val="none" w:sz="0" w:space="0" w:color="auto"/>
                            <w:right w:val="none" w:sz="0" w:space="0" w:color="auto"/>
                          </w:divBdr>
                          <w:divsChild>
                            <w:div w:id="1682199533">
                              <w:marLeft w:val="0"/>
                              <w:marRight w:val="0"/>
                              <w:marTop w:val="0"/>
                              <w:marBottom w:val="0"/>
                              <w:divBdr>
                                <w:top w:val="none" w:sz="0" w:space="0" w:color="auto"/>
                                <w:left w:val="none" w:sz="0" w:space="0" w:color="auto"/>
                                <w:bottom w:val="none" w:sz="0" w:space="0" w:color="auto"/>
                                <w:right w:val="none" w:sz="0" w:space="0" w:color="auto"/>
                              </w:divBdr>
                              <w:divsChild>
                                <w:div w:id="537158075">
                                  <w:marLeft w:val="0"/>
                                  <w:marRight w:val="0"/>
                                  <w:marTop w:val="0"/>
                                  <w:marBottom w:val="0"/>
                                  <w:divBdr>
                                    <w:top w:val="none" w:sz="0" w:space="0" w:color="auto"/>
                                    <w:left w:val="none" w:sz="0" w:space="0" w:color="auto"/>
                                    <w:bottom w:val="none" w:sz="0" w:space="0" w:color="auto"/>
                                    <w:right w:val="none" w:sz="0" w:space="0" w:color="auto"/>
                                  </w:divBdr>
                                  <w:divsChild>
                                    <w:div w:id="1695618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80203960">
          <w:marLeft w:val="0"/>
          <w:marRight w:val="0"/>
          <w:marTop w:val="0"/>
          <w:marBottom w:val="0"/>
          <w:divBdr>
            <w:top w:val="none" w:sz="0" w:space="0" w:color="auto"/>
            <w:left w:val="none" w:sz="0" w:space="0" w:color="auto"/>
            <w:bottom w:val="none" w:sz="0" w:space="0" w:color="auto"/>
            <w:right w:val="none" w:sz="0" w:space="0" w:color="auto"/>
          </w:divBdr>
          <w:divsChild>
            <w:div w:id="1328706633">
              <w:marLeft w:val="0"/>
              <w:marRight w:val="0"/>
              <w:marTop w:val="0"/>
              <w:marBottom w:val="0"/>
              <w:divBdr>
                <w:top w:val="none" w:sz="0" w:space="0" w:color="auto"/>
                <w:left w:val="none" w:sz="0" w:space="0" w:color="auto"/>
                <w:bottom w:val="none" w:sz="0" w:space="0" w:color="auto"/>
                <w:right w:val="none" w:sz="0" w:space="0" w:color="auto"/>
              </w:divBdr>
              <w:divsChild>
                <w:div w:id="336273425">
                  <w:marLeft w:val="0"/>
                  <w:marRight w:val="0"/>
                  <w:marTop w:val="0"/>
                  <w:marBottom w:val="0"/>
                  <w:divBdr>
                    <w:top w:val="none" w:sz="0" w:space="0" w:color="auto"/>
                    <w:left w:val="none" w:sz="0" w:space="0" w:color="auto"/>
                    <w:bottom w:val="none" w:sz="0" w:space="0" w:color="auto"/>
                    <w:right w:val="none" w:sz="0" w:space="0" w:color="auto"/>
                  </w:divBdr>
                  <w:divsChild>
                    <w:div w:id="1075933976">
                      <w:marLeft w:val="0"/>
                      <w:marRight w:val="0"/>
                      <w:marTop w:val="0"/>
                      <w:marBottom w:val="0"/>
                      <w:divBdr>
                        <w:top w:val="none" w:sz="0" w:space="0" w:color="auto"/>
                        <w:left w:val="none" w:sz="0" w:space="0" w:color="auto"/>
                        <w:bottom w:val="none" w:sz="0" w:space="0" w:color="auto"/>
                        <w:right w:val="none" w:sz="0" w:space="0" w:color="auto"/>
                      </w:divBdr>
                      <w:divsChild>
                        <w:div w:id="1095632905">
                          <w:marLeft w:val="0"/>
                          <w:marRight w:val="0"/>
                          <w:marTop w:val="0"/>
                          <w:marBottom w:val="0"/>
                          <w:divBdr>
                            <w:top w:val="none" w:sz="0" w:space="0" w:color="auto"/>
                            <w:left w:val="none" w:sz="0" w:space="0" w:color="auto"/>
                            <w:bottom w:val="none" w:sz="0" w:space="0" w:color="auto"/>
                            <w:right w:val="none" w:sz="0" w:space="0" w:color="auto"/>
                          </w:divBdr>
                          <w:divsChild>
                            <w:div w:id="1228027943">
                              <w:marLeft w:val="0"/>
                              <w:marRight w:val="0"/>
                              <w:marTop w:val="0"/>
                              <w:marBottom w:val="0"/>
                              <w:divBdr>
                                <w:top w:val="none" w:sz="0" w:space="0" w:color="auto"/>
                                <w:left w:val="none" w:sz="0" w:space="0" w:color="auto"/>
                                <w:bottom w:val="none" w:sz="0" w:space="0" w:color="auto"/>
                                <w:right w:val="none" w:sz="0" w:space="0" w:color="auto"/>
                              </w:divBdr>
                              <w:divsChild>
                                <w:div w:id="935938752">
                                  <w:marLeft w:val="0"/>
                                  <w:marRight w:val="0"/>
                                  <w:marTop w:val="0"/>
                                  <w:marBottom w:val="0"/>
                                  <w:divBdr>
                                    <w:top w:val="none" w:sz="0" w:space="0" w:color="auto"/>
                                    <w:left w:val="none" w:sz="0" w:space="0" w:color="auto"/>
                                    <w:bottom w:val="none" w:sz="0" w:space="0" w:color="auto"/>
                                    <w:right w:val="none" w:sz="0" w:space="0" w:color="auto"/>
                                  </w:divBdr>
                                  <w:divsChild>
                                    <w:div w:id="507257890">
                                      <w:marLeft w:val="0"/>
                                      <w:marRight w:val="0"/>
                                      <w:marTop w:val="0"/>
                                      <w:marBottom w:val="0"/>
                                      <w:divBdr>
                                        <w:top w:val="none" w:sz="0" w:space="0" w:color="auto"/>
                                        <w:left w:val="none" w:sz="0" w:space="0" w:color="auto"/>
                                        <w:bottom w:val="none" w:sz="0" w:space="0" w:color="auto"/>
                                        <w:right w:val="none" w:sz="0" w:space="0" w:color="auto"/>
                                      </w:divBdr>
                                      <w:divsChild>
                                        <w:div w:id="1780685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00467769">
          <w:marLeft w:val="0"/>
          <w:marRight w:val="0"/>
          <w:marTop w:val="0"/>
          <w:marBottom w:val="0"/>
          <w:divBdr>
            <w:top w:val="none" w:sz="0" w:space="0" w:color="auto"/>
            <w:left w:val="none" w:sz="0" w:space="0" w:color="auto"/>
            <w:bottom w:val="none" w:sz="0" w:space="0" w:color="auto"/>
            <w:right w:val="none" w:sz="0" w:space="0" w:color="auto"/>
          </w:divBdr>
          <w:divsChild>
            <w:div w:id="700976965">
              <w:marLeft w:val="0"/>
              <w:marRight w:val="0"/>
              <w:marTop w:val="0"/>
              <w:marBottom w:val="0"/>
              <w:divBdr>
                <w:top w:val="none" w:sz="0" w:space="0" w:color="auto"/>
                <w:left w:val="none" w:sz="0" w:space="0" w:color="auto"/>
                <w:bottom w:val="none" w:sz="0" w:space="0" w:color="auto"/>
                <w:right w:val="none" w:sz="0" w:space="0" w:color="auto"/>
              </w:divBdr>
              <w:divsChild>
                <w:div w:id="1644890644">
                  <w:marLeft w:val="0"/>
                  <w:marRight w:val="0"/>
                  <w:marTop w:val="0"/>
                  <w:marBottom w:val="0"/>
                  <w:divBdr>
                    <w:top w:val="none" w:sz="0" w:space="0" w:color="auto"/>
                    <w:left w:val="none" w:sz="0" w:space="0" w:color="auto"/>
                    <w:bottom w:val="none" w:sz="0" w:space="0" w:color="auto"/>
                    <w:right w:val="none" w:sz="0" w:space="0" w:color="auto"/>
                  </w:divBdr>
                  <w:divsChild>
                    <w:div w:id="2014717053">
                      <w:marLeft w:val="0"/>
                      <w:marRight w:val="0"/>
                      <w:marTop w:val="0"/>
                      <w:marBottom w:val="0"/>
                      <w:divBdr>
                        <w:top w:val="none" w:sz="0" w:space="0" w:color="auto"/>
                        <w:left w:val="none" w:sz="0" w:space="0" w:color="auto"/>
                        <w:bottom w:val="none" w:sz="0" w:space="0" w:color="auto"/>
                        <w:right w:val="none" w:sz="0" w:space="0" w:color="auto"/>
                      </w:divBdr>
                      <w:divsChild>
                        <w:div w:id="1304702942">
                          <w:marLeft w:val="0"/>
                          <w:marRight w:val="0"/>
                          <w:marTop w:val="0"/>
                          <w:marBottom w:val="0"/>
                          <w:divBdr>
                            <w:top w:val="none" w:sz="0" w:space="0" w:color="auto"/>
                            <w:left w:val="none" w:sz="0" w:space="0" w:color="auto"/>
                            <w:bottom w:val="none" w:sz="0" w:space="0" w:color="auto"/>
                            <w:right w:val="none" w:sz="0" w:space="0" w:color="auto"/>
                          </w:divBdr>
                          <w:divsChild>
                            <w:div w:id="1017852209">
                              <w:marLeft w:val="0"/>
                              <w:marRight w:val="0"/>
                              <w:marTop w:val="0"/>
                              <w:marBottom w:val="0"/>
                              <w:divBdr>
                                <w:top w:val="none" w:sz="0" w:space="0" w:color="auto"/>
                                <w:left w:val="none" w:sz="0" w:space="0" w:color="auto"/>
                                <w:bottom w:val="none" w:sz="0" w:space="0" w:color="auto"/>
                                <w:right w:val="none" w:sz="0" w:space="0" w:color="auto"/>
                              </w:divBdr>
                              <w:divsChild>
                                <w:div w:id="890652979">
                                  <w:marLeft w:val="0"/>
                                  <w:marRight w:val="0"/>
                                  <w:marTop w:val="0"/>
                                  <w:marBottom w:val="0"/>
                                  <w:divBdr>
                                    <w:top w:val="none" w:sz="0" w:space="0" w:color="auto"/>
                                    <w:left w:val="none" w:sz="0" w:space="0" w:color="auto"/>
                                    <w:bottom w:val="none" w:sz="0" w:space="0" w:color="auto"/>
                                    <w:right w:val="none" w:sz="0" w:space="0" w:color="auto"/>
                                  </w:divBdr>
                                  <w:divsChild>
                                    <w:div w:id="126093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20677091">
                  <w:marLeft w:val="0"/>
                  <w:marRight w:val="0"/>
                  <w:marTop w:val="0"/>
                  <w:marBottom w:val="0"/>
                  <w:divBdr>
                    <w:top w:val="none" w:sz="0" w:space="0" w:color="auto"/>
                    <w:left w:val="none" w:sz="0" w:space="0" w:color="auto"/>
                    <w:bottom w:val="none" w:sz="0" w:space="0" w:color="auto"/>
                    <w:right w:val="none" w:sz="0" w:space="0" w:color="auto"/>
                  </w:divBdr>
                  <w:divsChild>
                    <w:div w:id="818234162">
                      <w:marLeft w:val="0"/>
                      <w:marRight w:val="0"/>
                      <w:marTop w:val="0"/>
                      <w:marBottom w:val="0"/>
                      <w:divBdr>
                        <w:top w:val="none" w:sz="0" w:space="0" w:color="auto"/>
                        <w:left w:val="none" w:sz="0" w:space="0" w:color="auto"/>
                        <w:bottom w:val="none" w:sz="0" w:space="0" w:color="auto"/>
                        <w:right w:val="none" w:sz="0" w:space="0" w:color="auto"/>
                      </w:divBdr>
                      <w:divsChild>
                        <w:div w:id="275600778">
                          <w:marLeft w:val="0"/>
                          <w:marRight w:val="0"/>
                          <w:marTop w:val="0"/>
                          <w:marBottom w:val="0"/>
                          <w:divBdr>
                            <w:top w:val="none" w:sz="0" w:space="0" w:color="auto"/>
                            <w:left w:val="none" w:sz="0" w:space="0" w:color="auto"/>
                            <w:bottom w:val="none" w:sz="0" w:space="0" w:color="auto"/>
                            <w:right w:val="none" w:sz="0" w:space="0" w:color="auto"/>
                          </w:divBdr>
                          <w:divsChild>
                            <w:div w:id="1985960526">
                              <w:marLeft w:val="0"/>
                              <w:marRight w:val="0"/>
                              <w:marTop w:val="0"/>
                              <w:marBottom w:val="0"/>
                              <w:divBdr>
                                <w:top w:val="none" w:sz="0" w:space="0" w:color="auto"/>
                                <w:left w:val="none" w:sz="0" w:space="0" w:color="auto"/>
                                <w:bottom w:val="none" w:sz="0" w:space="0" w:color="auto"/>
                                <w:right w:val="none" w:sz="0" w:space="0" w:color="auto"/>
                              </w:divBdr>
                              <w:divsChild>
                                <w:div w:id="1714843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0364567">
          <w:marLeft w:val="0"/>
          <w:marRight w:val="0"/>
          <w:marTop w:val="0"/>
          <w:marBottom w:val="0"/>
          <w:divBdr>
            <w:top w:val="none" w:sz="0" w:space="0" w:color="auto"/>
            <w:left w:val="none" w:sz="0" w:space="0" w:color="auto"/>
            <w:bottom w:val="none" w:sz="0" w:space="0" w:color="auto"/>
            <w:right w:val="none" w:sz="0" w:space="0" w:color="auto"/>
          </w:divBdr>
          <w:divsChild>
            <w:div w:id="496068774">
              <w:marLeft w:val="0"/>
              <w:marRight w:val="0"/>
              <w:marTop w:val="0"/>
              <w:marBottom w:val="0"/>
              <w:divBdr>
                <w:top w:val="none" w:sz="0" w:space="0" w:color="auto"/>
                <w:left w:val="none" w:sz="0" w:space="0" w:color="auto"/>
                <w:bottom w:val="none" w:sz="0" w:space="0" w:color="auto"/>
                <w:right w:val="none" w:sz="0" w:space="0" w:color="auto"/>
              </w:divBdr>
              <w:divsChild>
                <w:div w:id="1327898852">
                  <w:marLeft w:val="0"/>
                  <w:marRight w:val="0"/>
                  <w:marTop w:val="0"/>
                  <w:marBottom w:val="0"/>
                  <w:divBdr>
                    <w:top w:val="none" w:sz="0" w:space="0" w:color="auto"/>
                    <w:left w:val="none" w:sz="0" w:space="0" w:color="auto"/>
                    <w:bottom w:val="none" w:sz="0" w:space="0" w:color="auto"/>
                    <w:right w:val="none" w:sz="0" w:space="0" w:color="auto"/>
                  </w:divBdr>
                  <w:divsChild>
                    <w:div w:id="29454402">
                      <w:marLeft w:val="0"/>
                      <w:marRight w:val="0"/>
                      <w:marTop w:val="0"/>
                      <w:marBottom w:val="0"/>
                      <w:divBdr>
                        <w:top w:val="none" w:sz="0" w:space="0" w:color="auto"/>
                        <w:left w:val="none" w:sz="0" w:space="0" w:color="auto"/>
                        <w:bottom w:val="none" w:sz="0" w:space="0" w:color="auto"/>
                        <w:right w:val="none" w:sz="0" w:space="0" w:color="auto"/>
                      </w:divBdr>
                      <w:divsChild>
                        <w:div w:id="2113628174">
                          <w:marLeft w:val="0"/>
                          <w:marRight w:val="0"/>
                          <w:marTop w:val="0"/>
                          <w:marBottom w:val="0"/>
                          <w:divBdr>
                            <w:top w:val="none" w:sz="0" w:space="0" w:color="auto"/>
                            <w:left w:val="none" w:sz="0" w:space="0" w:color="auto"/>
                            <w:bottom w:val="none" w:sz="0" w:space="0" w:color="auto"/>
                            <w:right w:val="none" w:sz="0" w:space="0" w:color="auto"/>
                          </w:divBdr>
                          <w:divsChild>
                            <w:div w:id="1442413600">
                              <w:marLeft w:val="0"/>
                              <w:marRight w:val="0"/>
                              <w:marTop w:val="0"/>
                              <w:marBottom w:val="0"/>
                              <w:divBdr>
                                <w:top w:val="none" w:sz="0" w:space="0" w:color="auto"/>
                                <w:left w:val="none" w:sz="0" w:space="0" w:color="auto"/>
                                <w:bottom w:val="none" w:sz="0" w:space="0" w:color="auto"/>
                                <w:right w:val="none" w:sz="0" w:space="0" w:color="auto"/>
                              </w:divBdr>
                              <w:divsChild>
                                <w:div w:id="201491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1680108">
                  <w:marLeft w:val="0"/>
                  <w:marRight w:val="0"/>
                  <w:marTop w:val="0"/>
                  <w:marBottom w:val="0"/>
                  <w:divBdr>
                    <w:top w:val="none" w:sz="0" w:space="0" w:color="auto"/>
                    <w:left w:val="none" w:sz="0" w:space="0" w:color="auto"/>
                    <w:bottom w:val="none" w:sz="0" w:space="0" w:color="auto"/>
                    <w:right w:val="none" w:sz="0" w:space="0" w:color="auto"/>
                  </w:divBdr>
                  <w:divsChild>
                    <w:div w:id="617682745">
                      <w:marLeft w:val="0"/>
                      <w:marRight w:val="0"/>
                      <w:marTop w:val="0"/>
                      <w:marBottom w:val="0"/>
                      <w:divBdr>
                        <w:top w:val="none" w:sz="0" w:space="0" w:color="auto"/>
                        <w:left w:val="none" w:sz="0" w:space="0" w:color="auto"/>
                        <w:bottom w:val="none" w:sz="0" w:space="0" w:color="auto"/>
                        <w:right w:val="none" w:sz="0" w:space="0" w:color="auto"/>
                      </w:divBdr>
                      <w:divsChild>
                        <w:div w:id="2095589289">
                          <w:marLeft w:val="0"/>
                          <w:marRight w:val="0"/>
                          <w:marTop w:val="0"/>
                          <w:marBottom w:val="0"/>
                          <w:divBdr>
                            <w:top w:val="none" w:sz="0" w:space="0" w:color="auto"/>
                            <w:left w:val="none" w:sz="0" w:space="0" w:color="auto"/>
                            <w:bottom w:val="none" w:sz="0" w:space="0" w:color="auto"/>
                            <w:right w:val="none" w:sz="0" w:space="0" w:color="auto"/>
                          </w:divBdr>
                          <w:divsChild>
                            <w:div w:id="1028337447">
                              <w:marLeft w:val="0"/>
                              <w:marRight w:val="0"/>
                              <w:marTop w:val="0"/>
                              <w:marBottom w:val="0"/>
                              <w:divBdr>
                                <w:top w:val="none" w:sz="0" w:space="0" w:color="auto"/>
                                <w:left w:val="none" w:sz="0" w:space="0" w:color="auto"/>
                                <w:bottom w:val="none" w:sz="0" w:space="0" w:color="auto"/>
                                <w:right w:val="none" w:sz="0" w:space="0" w:color="auto"/>
                              </w:divBdr>
                              <w:divsChild>
                                <w:div w:id="1192646003">
                                  <w:marLeft w:val="0"/>
                                  <w:marRight w:val="0"/>
                                  <w:marTop w:val="0"/>
                                  <w:marBottom w:val="0"/>
                                  <w:divBdr>
                                    <w:top w:val="none" w:sz="0" w:space="0" w:color="auto"/>
                                    <w:left w:val="none" w:sz="0" w:space="0" w:color="auto"/>
                                    <w:bottom w:val="none" w:sz="0" w:space="0" w:color="auto"/>
                                    <w:right w:val="none" w:sz="0" w:space="0" w:color="auto"/>
                                  </w:divBdr>
                                  <w:divsChild>
                                    <w:div w:id="1617172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36057378">
          <w:marLeft w:val="0"/>
          <w:marRight w:val="0"/>
          <w:marTop w:val="0"/>
          <w:marBottom w:val="0"/>
          <w:divBdr>
            <w:top w:val="none" w:sz="0" w:space="0" w:color="auto"/>
            <w:left w:val="none" w:sz="0" w:space="0" w:color="auto"/>
            <w:bottom w:val="none" w:sz="0" w:space="0" w:color="auto"/>
            <w:right w:val="none" w:sz="0" w:space="0" w:color="auto"/>
          </w:divBdr>
          <w:divsChild>
            <w:div w:id="951473020">
              <w:marLeft w:val="0"/>
              <w:marRight w:val="0"/>
              <w:marTop w:val="0"/>
              <w:marBottom w:val="0"/>
              <w:divBdr>
                <w:top w:val="none" w:sz="0" w:space="0" w:color="auto"/>
                <w:left w:val="none" w:sz="0" w:space="0" w:color="auto"/>
                <w:bottom w:val="none" w:sz="0" w:space="0" w:color="auto"/>
                <w:right w:val="none" w:sz="0" w:space="0" w:color="auto"/>
              </w:divBdr>
              <w:divsChild>
                <w:div w:id="1128351627">
                  <w:marLeft w:val="0"/>
                  <w:marRight w:val="0"/>
                  <w:marTop w:val="0"/>
                  <w:marBottom w:val="0"/>
                  <w:divBdr>
                    <w:top w:val="none" w:sz="0" w:space="0" w:color="auto"/>
                    <w:left w:val="none" w:sz="0" w:space="0" w:color="auto"/>
                    <w:bottom w:val="none" w:sz="0" w:space="0" w:color="auto"/>
                    <w:right w:val="none" w:sz="0" w:space="0" w:color="auto"/>
                  </w:divBdr>
                  <w:divsChild>
                    <w:div w:id="1010915439">
                      <w:marLeft w:val="0"/>
                      <w:marRight w:val="0"/>
                      <w:marTop w:val="0"/>
                      <w:marBottom w:val="0"/>
                      <w:divBdr>
                        <w:top w:val="none" w:sz="0" w:space="0" w:color="auto"/>
                        <w:left w:val="none" w:sz="0" w:space="0" w:color="auto"/>
                        <w:bottom w:val="none" w:sz="0" w:space="0" w:color="auto"/>
                        <w:right w:val="none" w:sz="0" w:space="0" w:color="auto"/>
                      </w:divBdr>
                      <w:divsChild>
                        <w:div w:id="717510530">
                          <w:marLeft w:val="0"/>
                          <w:marRight w:val="0"/>
                          <w:marTop w:val="0"/>
                          <w:marBottom w:val="0"/>
                          <w:divBdr>
                            <w:top w:val="none" w:sz="0" w:space="0" w:color="auto"/>
                            <w:left w:val="none" w:sz="0" w:space="0" w:color="auto"/>
                            <w:bottom w:val="none" w:sz="0" w:space="0" w:color="auto"/>
                            <w:right w:val="none" w:sz="0" w:space="0" w:color="auto"/>
                          </w:divBdr>
                          <w:divsChild>
                            <w:div w:id="1160468287">
                              <w:marLeft w:val="0"/>
                              <w:marRight w:val="0"/>
                              <w:marTop w:val="0"/>
                              <w:marBottom w:val="0"/>
                              <w:divBdr>
                                <w:top w:val="none" w:sz="0" w:space="0" w:color="auto"/>
                                <w:left w:val="none" w:sz="0" w:space="0" w:color="auto"/>
                                <w:bottom w:val="none" w:sz="0" w:space="0" w:color="auto"/>
                                <w:right w:val="none" w:sz="0" w:space="0" w:color="auto"/>
                              </w:divBdr>
                              <w:divsChild>
                                <w:div w:id="2136605464">
                                  <w:marLeft w:val="0"/>
                                  <w:marRight w:val="0"/>
                                  <w:marTop w:val="0"/>
                                  <w:marBottom w:val="0"/>
                                  <w:divBdr>
                                    <w:top w:val="none" w:sz="0" w:space="0" w:color="auto"/>
                                    <w:left w:val="none" w:sz="0" w:space="0" w:color="auto"/>
                                    <w:bottom w:val="none" w:sz="0" w:space="0" w:color="auto"/>
                                    <w:right w:val="none" w:sz="0" w:space="0" w:color="auto"/>
                                  </w:divBdr>
                                  <w:divsChild>
                                    <w:div w:id="225575179">
                                      <w:marLeft w:val="0"/>
                                      <w:marRight w:val="0"/>
                                      <w:marTop w:val="0"/>
                                      <w:marBottom w:val="0"/>
                                      <w:divBdr>
                                        <w:top w:val="none" w:sz="0" w:space="0" w:color="auto"/>
                                        <w:left w:val="none" w:sz="0" w:space="0" w:color="auto"/>
                                        <w:bottom w:val="none" w:sz="0" w:space="0" w:color="auto"/>
                                        <w:right w:val="none" w:sz="0" w:space="0" w:color="auto"/>
                                      </w:divBdr>
                                      <w:divsChild>
                                        <w:div w:id="1485664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14059842">
          <w:marLeft w:val="0"/>
          <w:marRight w:val="0"/>
          <w:marTop w:val="0"/>
          <w:marBottom w:val="0"/>
          <w:divBdr>
            <w:top w:val="none" w:sz="0" w:space="0" w:color="auto"/>
            <w:left w:val="none" w:sz="0" w:space="0" w:color="auto"/>
            <w:bottom w:val="none" w:sz="0" w:space="0" w:color="auto"/>
            <w:right w:val="none" w:sz="0" w:space="0" w:color="auto"/>
          </w:divBdr>
          <w:divsChild>
            <w:div w:id="169877699">
              <w:marLeft w:val="0"/>
              <w:marRight w:val="0"/>
              <w:marTop w:val="0"/>
              <w:marBottom w:val="0"/>
              <w:divBdr>
                <w:top w:val="none" w:sz="0" w:space="0" w:color="auto"/>
                <w:left w:val="none" w:sz="0" w:space="0" w:color="auto"/>
                <w:bottom w:val="none" w:sz="0" w:space="0" w:color="auto"/>
                <w:right w:val="none" w:sz="0" w:space="0" w:color="auto"/>
              </w:divBdr>
              <w:divsChild>
                <w:div w:id="871263398">
                  <w:marLeft w:val="0"/>
                  <w:marRight w:val="0"/>
                  <w:marTop w:val="0"/>
                  <w:marBottom w:val="0"/>
                  <w:divBdr>
                    <w:top w:val="none" w:sz="0" w:space="0" w:color="auto"/>
                    <w:left w:val="none" w:sz="0" w:space="0" w:color="auto"/>
                    <w:bottom w:val="none" w:sz="0" w:space="0" w:color="auto"/>
                    <w:right w:val="none" w:sz="0" w:space="0" w:color="auto"/>
                  </w:divBdr>
                  <w:divsChild>
                    <w:div w:id="1936940246">
                      <w:marLeft w:val="0"/>
                      <w:marRight w:val="0"/>
                      <w:marTop w:val="0"/>
                      <w:marBottom w:val="0"/>
                      <w:divBdr>
                        <w:top w:val="none" w:sz="0" w:space="0" w:color="auto"/>
                        <w:left w:val="none" w:sz="0" w:space="0" w:color="auto"/>
                        <w:bottom w:val="none" w:sz="0" w:space="0" w:color="auto"/>
                        <w:right w:val="none" w:sz="0" w:space="0" w:color="auto"/>
                      </w:divBdr>
                      <w:divsChild>
                        <w:div w:id="551891991">
                          <w:marLeft w:val="0"/>
                          <w:marRight w:val="0"/>
                          <w:marTop w:val="0"/>
                          <w:marBottom w:val="0"/>
                          <w:divBdr>
                            <w:top w:val="none" w:sz="0" w:space="0" w:color="auto"/>
                            <w:left w:val="none" w:sz="0" w:space="0" w:color="auto"/>
                            <w:bottom w:val="none" w:sz="0" w:space="0" w:color="auto"/>
                            <w:right w:val="none" w:sz="0" w:space="0" w:color="auto"/>
                          </w:divBdr>
                          <w:divsChild>
                            <w:div w:id="1719621429">
                              <w:marLeft w:val="0"/>
                              <w:marRight w:val="0"/>
                              <w:marTop w:val="0"/>
                              <w:marBottom w:val="0"/>
                              <w:divBdr>
                                <w:top w:val="none" w:sz="0" w:space="0" w:color="auto"/>
                                <w:left w:val="none" w:sz="0" w:space="0" w:color="auto"/>
                                <w:bottom w:val="none" w:sz="0" w:space="0" w:color="auto"/>
                                <w:right w:val="none" w:sz="0" w:space="0" w:color="auto"/>
                              </w:divBdr>
                              <w:divsChild>
                                <w:div w:id="1153179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1548158">
                  <w:marLeft w:val="0"/>
                  <w:marRight w:val="0"/>
                  <w:marTop w:val="0"/>
                  <w:marBottom w:val="0"/>
                  <w:divBdr>
                    <w:top w:val="none" w:sz="0" w:space="0" w:color="auto"/>
                    <w:left w:val="none" w:sz="0" w:space="0" w:color="auto"/>
                    <w:bottom w:val="none" w:sz="0" w:space="0" w:color="auto"/>
                    <w:right w:val="none" w:sz="0" w:space="0" w:color="auto"/>
                  </w:divBdr>
                  <w:divsChild>
                    <w:div w:id="1263294697">
                      <w:marLeft w:val="0"/>
                      <w:marRight w:val="0"/>
                      <w:marTop w:val="0"/>
                      <w:marBottom w:val="0"/>
                      <w:divBdr>
                        <w:top w:val="none" w:sz="0" w:space="0" w:color="auto"/>
                        <w:left w:val="none" w:sz="0" w:space="0" w:color="auto"/>
                        <w:bottom w:val="none" w:sz="0" w:space="0" w:color="auto"/>
                        <w:right w:val="none" w:sz="0" w:space="0" w:color="auto"/>
                      </w:divBdr>
                      <w:divsChild>
                        <w:div w:id="2103259415">
                          <w:marLeft w:val="0"/>
                          <w:marRight w:val="0"/>
                          <w:marTop w:val="0"/>
                          <w:marBottom w:val="0"/>
                          <w:divBdr>
                            <w:top w:val="none" w:sz="0" w:space="0" w:color="auto"/>
                            <w:left w:val="none" w:sz="0" w:space="0" w:color="auto"/>
                            <w:bottom w:val="none" w:sz="0" w:space="0" w:color="auto"/>
                            <w:right w:val="none" w:sz="0" w:space="0" w:color="auto"/>
                          </w:divBdr>
                          <w:divsChild>
                            <w:div w:id="1120420515">
                              <w:marLeft w:val="0"/>
                              <w:marRight w:val="0"/>
                              <w:marTop w:val="0"/>
                              <w:marBottom w:val="0"/>
                              <w:divBdr>
                                <w:top w:val="none" w:sz="0" w:space="0" w:color="auto"/>
                                <w:left w:val="none" w:sz="0" w:space="0" w:color="auto"/>
                                <w:bottom w:val="none" w:sz="0" w:space="0" w:color="auto"/>
                                <w:right w:val="none" w:sz="0" w:space="0" w:color="auto"/>
                              </w:divBdr>
                              <w:divsChild>
                                <w:div w:id="1204976547">
                                  <w:marLeft w:val="0"/>
                                  <w:marRight w:val="0"/>
                                  <w:marTop w:val="0"/>
                                  <w:marBottom w:val="0"/>
                                  <w:divBdr>
                                    <w:top w:val="none" w:sz="0" w:space="0" w:color="auto"/>
                                    <w:left w:val="none" w:sz="0" w:space="0" w:color="auto"/>
                                    <w:bottom w:val="none" w:sz="0" w:space="0" w:color="auto"/>
                                    <w:right w:val="none" w:sz="0" w:space="0" w:color="auto"/>
                                  </w:divBdr>
                                  <w:divsChild>
                                    <w:div w:id="882059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98832810">
      <w:bodyDiv w:val="1"/>
      <w:marLeft w:val="0"/>
      <w:marRight w:val="0"/>
      <w:marTop w:val="0"/>
      <w:marBottom w:val="0"/>
      <w:divBdr>
        <w:top w:val="none" w:sz="0" w:space="0" w:color="auto"/>
        <w:left w:val="none" w:sz="0" w:space="0" w:color="auto"/>
        <w:bottom w:val="none" w:sz="0" w:space="0" w:color="auto"/>
        <w:right w:val="none" w:sz="0" w:space="0" w:color="auto"/>
      </w:divBdr>
    </w:div>
    <w:div w:id="1806191613">
      <w:bodyDiv w:val="1"/>
      <w:marLeft w:val="0"/>
      <w:marRight w:val="0"/>
      <w:marTop w:val="0"/>
      <w:marBottom w:val="0"/>
      <w:divBdr>
        <w:top w:val="none" w:sz="0" w:space="0" w:color="auto"/>
        <w:left w:val="none" w:sz="0" w:space="0" w:color="auto"/>
        <w:bottom w:val="none" w:sz="0" w:space="0" w:color="auto"/>
        <w:right w:val="none" w:sz="0" w:space="0" w:color="auto"/>
      </w:divBdr>
    </w:div>
    <w:div w:id="1819760076">
      <w:bodyDiv w:val="1"/>
      <w:marLeft w:val="0"/>
      <w:marRight w:val="0"/>
      <w:marTop w:val="0"/>
      <w:marBottom w:val="0"/>
      <w:divBdr>
        <w:top w:val="none" w:sz="0" w:space="0" w:color="auto"/>
        <w:left w:val="none" w:sz="0" w:space="0" w:color="auto"/>
        <w:bottom w:val="none" w:sz="0" w:space="0" w:color="auto"/>
        <w:right w:val="none" w:sz="0" w:space="0" w:color="auto"/>
      </w:divBdr>
    </w:div>
    <w:div w:id="1831168400">
      <w:bodyDiv w:val="1"/>
      <w:marLeft w:val="0"/>
      <w:marRight w:val="0"/>
      <w:marTop w:val="0"/>
      <w:marBottom w:val="0"/>
      <w:divBdr>
        <w:top w:val="none" w:sz="0" w:space="0" w:color="auto"/>
        <w:left w:val="none" w:sz="0" w:space="0" w:color="auto"/>
        <w:bottom w:val="none" w:sz="0" w:space="0" w:color="auto"/>
        <w:right w:val="none" w:sz="0" w:space="0" w:color="auto"/>
      </w:divBdr>
      <w:divsChild>
        <w:div w:id="1044208299">
          <w:marLeft w:val="0"/>
          <w:marRight w:val="0"/>
          <w:marTop w:val="0"/>
          <w:marBottom w:val="0"/>
          <w:divBdr>
            <w:top w:val="none" w:sz="0" w:space="0" w:color="auto"/>
            <w:left w:val="none" w:sz="0" w:space="0" w:color="auto"/>
            <w:bottom w:val="none" w:sz="0" w:space="0" w:color="auto"/>
            <w:right w:val="none" w:sz="0" w:space="0" w:color="auto"/>
          </w:divBdr>
          <w:divsChild>
            <w:div w:id="1481921457">
              <w:marLeft w:val="0"/>
              <w:marRight w:val="0"/>
              <w:marTop w:val="0"/>
              <w:marBottom w:val="0"/>
              <w:divBdr>
                <w:top w:val="none" w:sz="0" w:space="0" w:color="auto"/>
                <w:left w:val="none" w:sz="0" w:space="0" w:color="auto"/>
                <w:bottom w:val="none" w:sz="0" w:space="0" w:color="auto"/>
                <w:right w:val="none" w:sz="0" w:space="0" w:color="auto"/>
              </w:divBdr>
              <w:divsChild>
                <w:div w:id="351028625">
                  <w:marLeft w:val="0"/>
                  <w:marRight w:val="0"/>
                  <w:marTop w:val="0"/>
                  <w:marBottom w:val="0"/>
                  <w:divBdr>
                    <w:top w:val="none" w:sz="0" w:space="0" w:color="auto"/>
                    <w:left w:val="none" w:sz="0" w:space="0" w:color="auto"/>
                    <w:bottom w:val="none" w:sz="0" w:space="0" w:color="auto"/>
                    <w:right w:val="none" w:sz="0" w:space="0" w:color="auto"/>
                  </w:divBdr>
                  <w:divsChild>
                    <w:div w:id="1277298692">
                      <w:marLeft w:val="0"/>
                      <w:marRight w:val="0"/>
                      <w:marTop w:val="0"/>
                      <w:marBottom w:val="0"/>
                      <w:divBdr>
                        <w:top w:val="none" w:sz="0" w:space="0" w:color="auto"/>
                        <w:left w:val="none" w:sz="0" w:space="0" w:color="auto"/>
                        <w:bottom w:val="none" w:sz="0" w:space="0" w:color="auto"/>
                        <w:right w:val="none" w:sz="0" w:space="0" w:color="auto"/>
                      </w:divBdr>
                      <w:divsChild>
                        <w:div w:id="1614941016">
                          <w:marLeft w:val="0"/>
                          <w:marRight w:val="0"/>
                          <w:marTop w:val="0"/>
                          <w:marBottom w:val="0"/>
                          <w:divBdr>
                            <w:top w:val="none" w:sz="0" w:space="0" w:color="auto"/>
                            <w:left w:val="none" w:sz="0" w:space="0" w:color="auto"/>
                            <w:bottom w:val="none" w:sz="0" w:space="0" w:color="auto"/>
                            <w:right w:val="none" w:sz="0" w:space="0" w:color="auto"/>
                          </w:divBdr>
                          <w:divsChild>
                            <w:div w:id="1779181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02136938">
      <w:bodyDiv w:val="1"/>
      <w:marLeft w:val="0"/>
      <w:marRight w:val="0"/>
      <w:marTop w:val="0"/>
      <w:marBottom w:val="0"/>
      <w:divBdr>
        <w:top w:val="none" w:sz="0" w:space="0" w:color="auto"/>
        <w:left w:val="none" w:sz="0" w:space="0" w:color="auto"/>
        <w:bottom w:val="none" w:sz="0" w:space="0" w:color="auto"/>
        <w:right w:val="none" w:sz="0" w:space="0" w:color="auto"/>
      </w:divBdr>
    </w:div>
    <w:div w:id="1902473674">
      <w:bodyDiv w:val="1"/>
      <w:marLeft w:val="0"/>
      <w:marRight w:val="0"/>
      <w:marTop w:val="0"/>
      <w:marBottom w:val="0"/>
      <w:divBdr>
        <w:top w:val="none" w:sz="0" w:space="0" w:color="auto"/>
        <w:left w:val="none" w:sz="0" w:space="0" w:color="auto"/>
        <w:bottom w:val="none" w:sz="0" w:space="0" w:color="auto"/>
        <w:right w:val="none" w:sz="0" w:space="0" w:color="auto"/>
      </w:divBdr>
    </w:div>
    <w:div w:id="1937442142">
      <w:bodyDiv w:val="1"/>
      <w:marLeft w:val="0"/>
      <w:marRight w:val="0"/>
      <w:marTop w:val="0"/>
      <w:marBottom w:val="0"/>
      <w:divBdr>
        <w:top w:val="none" w:sz="0" w:space="0" w:color="auto"/>
        <w:left w:val="none" w:sz="0" w:space="0" w:color="auto"/>
        <w:bottom w:val="none" w:sz="0" w:space="0" w:color="auto"/>
        <w:right w:val="none" w:sz="0" w:space="0" w:color="auto"/>
      </w:divBdr>
    </w:div>
    <w:div w:id="1964462693">
      <w:bodyDiv w:val="1"/>
      <w:marLeft w:val="0"/>
      <w:marRight w:val="0"/>
      <w:marTop w:val="0"/>
      <w:marBottom w:val="0"/>
      <w:divBdr>
        <w:top w:val="none" w:sz="0" w:space="0" w:color="auto"/>
        <w:left w:val="none" w:sz="0" w:space="0" w:color="auto"/>
        <w:bottom w:val="none" w:sz="0" w:space="0" w:color="auto"/>
        <w:right w:val="none" w:sz="0" w:space="0" w:color="auto"/>
      </w:divBdr>
    </w:div>
    <w:div w:id="2006348926">
      <w:bodyDiv w:val="1"/>
      <w:marLeft w:val="0"/>
      <w:marRight w:val="0"/>
      <w:marTop w:val="0"/>
      <w:marBottom w:val="0"/>
      <w:divBdr>
        <w:top w:val="none" w:sz="0" w:space="0" w:color="auto"/>
        <w:left w:val="none" w:sz="0" w:space="0" w:color="auto"/>
        <w:bottom w:val="none" w:sz="0" w:space="0" w:color="auto"/>
        <w:right w:val="none" w:sz="0" w:space="0" w:color="auto"/>
      </w:divBdr>
      <w:divsChild>
        <w:div w:id="1217164062">
          <w:marLeft w:val="0"/>
          <w:marRight w:val="0"/>
          <w:marTop w:val="0"/>
          <w:marBottom w:val="0"/>
          <w:divBdr>
            <w:top w:val="none" w:sz="0" w:space="0" w:color="auto"/>
            <w:left w:val="none" w:sz="0" w:space="0" w:color="auto"/>
            <w:bottom w:val="none" w:sz="0" w:space="0" w:color="auto"/>
            <w:right w:val="none" w:sz="0" w:space="0" w:color="auto"/>
          </w:divBdr>
          <w:divsChild>
            <w:div w:id="1833523528">
              <w:marLeft w:val="0"/>
              <w:marRight w:val="0"/>
              <w:marTop w:val="0"/>
              <w:marBottom w:val="0"/>
              <w:divBdr>
                <w:top w:val="none" w:sz="0" w:space="0" w:color="auto"/>
                <w:left w:val="none" w:sz="0" w:space="0" w:color="auto"/>
                <w:bottom w:val="none" w:sz="0" w:space="0" w:color="auto"/>
                <w:right w:val="none" w:sz="0" w:space="0" w:color="auto"/>
              </w:divBdr>
              <w:divsChild>
                <w:div w:id="688683429">
                  <w:marLeft w:val="0"/>
                  <w:marRight w:val="0"/>
                  <w:marTop w:val="0"/>
                  <w:marBottom w:val="0"/>
                  <w:divBdr>
                    <w:top w:val="none" w:sz="0" w:space="0" w:color="auto"/>
                    <w:left w:val="none" w:sz="0" w:space="0" w:color="auto"/>
                    <w:bottom w:val="none" w:sz="0" w:space="0" w:color="auto"/>
                    <w:right w:val="none" w:sz="0" w:space="0" w:color="auto"/>
                  </w:divBdr>
                  <w:divsChild>
                    <w:div w:id="748620708">
                      <w:marLeft w:val="0"/>
                      <w:marRight w:val="0"/>
                      <w:marTop w:val="0"/>
                      <w:marBottom w:val="0"/>
                      <w:divBdr>
                        <w:top w:val="none" w:sz="0" w:space="0" w:color="auto"/>
                        <w:left w:val="none" w:sz="0" w:space="0" w:color="auto"/>
                        <w:bottom w:val="none" w:sz="0" w:space="0" w:color="auto"/>
                        <w:right w:val="none" w:sz="0" w:space="0" w:color="auto"/>
                      </w:divBdr>
                      <w:divsChild>
                        <w:div w:id="1626159826">
                          <w:marLeft w:val="0"/>
                          <w:marRight w:val="0"/>
                          <w:marTop w:val="0"/>
                          <w:marBottom w:val="0"/>
                          <w:divBdr>
                            <w:top w:val="none" w:sz="0" w:space="0" w:color="auto"/>
                            <w:left w:val="none" w:sz="0" w:space="0" w:color="auto"/>
                            <w:bottom w:val="none" w:sz="0" w:space="0" w:color="auto"/>
                            <w:right w:val="none" w:sz="0" w:space="0" w:color="auto"/>
                          </w:divBdr>
                          <w:divsChild>
                            <w:div w:id="248730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48338371">
      <w:bodyDiv w:val="1"/>
      <w:marLeft w:val="0"/>
      <w:marRight w:val="0"/>
      <w:marTop w:val="0"/>
      <w:marBottom w:val="0"/>
      <w:divBdr>
        <w:top w:val="none" w:sz="0" w:space="0" w:color="auto"/>
        <w:left w:val="none" w:sz="0" w:space="0" w:color="auto"/>
        <w:bottom w:val="none" w:sz="0" w:space="0" w:color="auto"/>
        <w:right w:val="none" w:sz="0" w:space="0" w:color="auto"/>
      </w:divBdr>
    </w:div>
    <w:div w:id="2119326286">
      <w:bodyDiv w:val="1"/>
      <w:marLeft w:val="0"/>
      <w:marRight w:val="0"/>
      <w:marTop w:val="0"/>
      <w:marBottom w:val="0"/>
      <w:divBdr>
        <w:top w:val="none" w:sz="0" w:space="0" w:color="auto"/>
        <w:left w:val="none" w:sz="0" w:space="0" w:color="auto"/>
        <w:bottom w:val="none" w:sz="0" w:space="0" w:color="auto"/>
        <w:right w:val="none" w:sz="0" w:space="0" w:color="auto"/>
      </w:divBdr>
      <w:divsChild>
        <w:div w:id="851063965">
          <w:marLeft w:val="0"/>
          <w:marRight w:val="0"/>
          <w:marTop w:val="0"/>
          <w:marBottom w:val="0"/>
          <w:divBdr>
            <w:top w:val="none" w:sz="0" w:space="0" w:color="auto"/>
            <w:left w:val="none" w:sz="0" w:space="0" w:color="auto"/>
            <w:bottom w:val="none" w:sz="0" w:space="0" w:color="auto"/>
            <w:right w:val="none" w:sz="0" w:space="0" w:color="auto"/>
          </w:divBdr>
          <w:divsChild>
            <w:div w:id="1995402819">
              <w:marLeft w:val="0"/>
              <w:marRight w:val="0"/>
              <w:marTop w:val="0"/>
              <w:marBottom w:val="0"/>
              <w:divBdr>
                <w:top w:val="none" w:sz="0" w:space="0" w:color="auto"/>
                <w:left w:val="none" w:sz="0" w:space="0" w:color="auto"/>
                <w:bottom w:val="none" w:sz="0" w:space="0" w:color="auto"/>
                <w:right w:val="none" w:sz="0" w:space="0" w:color="auto"/>
              </w:divBdr>
              <w:divsChild>
                <w:div w:id="889000043">
                  <w:marLeft w:val="0"/>
                  <w:marRight w:val="0"/>
                  <w:marTop w:val="0"/>
                  <w:marBottom w:val="0"/>
                  <w:divBdr>
                    <w:top w:val="none" w:sz="0" w:space="0" w:color="auto"/>
                    <w:left w:val="none" w:sz="0" w:space="0" w:color="auto"/>
                    <w:bottom w:val="none" w:sz="0" w:space="0" w:color="auto"/>
                    <w:right w:val="none" w:sz="0" w:space="0" w:color="auto"/>
                  </w:divBdr>
                  <w:divsChild>
                    <w:div w:id="393813816">
                      <w:marLeft w:val="0"/>
                      <w:marRight w:val="0"/>
                      <w:marTop w:val="0"/>
                      <w:marBottom w:val="0"/>
                      <w:divBdr>
                        <w:top w:val="none" w:sz="0" w:space="0" w:color="auto"/>
                        <w:left w:val="none" w:sz="0" w:space="0" w:color="auto"/>
                        <w:bottom w:val="none" w:sz="0" w:space="0" w:color="auto"/>
                        <w:right w:val="none" w:sz="0" w:space="0" w:color="auto"/>
                      </w:divBdr>
                      <w:divsChild>
                        <w:div w:id="1720469943">
                          <w:marLeft w:val="0"/>
                          <w:marRight w:val="0"/>
                          <w:marTop w:val="0"/>
                          <w:marBottom w:val="0"/>
                          <w:divBdr>
                            <w:top w:val="none" w:sz="0" w:space="0" w:color="auto"/>
                            <w:left w:val="none" w:sz="0" w:space="0" w:color="auto"/>
                            <w:bottom w:val="none" w:sz="0" w:space="0" w:color="auto"/>
                            <w:right w:val="none" w:sz="0" w:space="0" w:color="auto"/>
                          </w:divBdr>
                          <w:divsChild>
                            <w:div w:id="11958790">
                              <w:marLeft w:val="0"/>
                              <w:marRight w:val="0"/>
                              <w:marTop w:val="0"/>
                              <w:marBottom w:val="0"/>
                              <w:divBdr>
                                <w:top w:val="none" w:sz="0" w:space="0" w:color="auto"/>
                                <w:left w:val="none" w:sz="0" w:space="0" w:color="auto"/>
                                <w:bottom w:val="none" w:sz="0" w:space="0" w:color="auto"/>
                                <w:right w:val="none" w:sz="0" w:space="0" w:color="auto"/>
                              </w:divBdr>
                              <w:divsChild>
                                <w:div w:id="817653423">
                                  <w:marLeft w:val="0"/>
                                  <w:marRight w:val="0"/>
                                  <w:marTop w:val="0"/>
                                  <w:marBottom w:val="0"/>
                                  <w:divBdr>
                                    <w:top w:val="none" w:sz="0" w:space="0" w:color="auto"/>
                                    <w:left w:val="none" w:sz="0" w:space="0" w:color="auto"/>
                                    <w:bottom w:val="none" w:sz="0" w:space="0" w:color="auto"/>
                                    <w:right w:val="none" w:sz="0" w:space="0" w:color="auto"/>
                                  </w:divBdr>
                                  <w:divsChild>
                                    <w:div w:id="1506045400">
                                      <w:marLeft w:val="0"/>
                                      <w:marRight w:val="0"/>
                                      <w:marTop w:val="0"/>
                                      <w:marBottom w:val="0"/>
                                      <w:divBdr>
                                        <w:top w:val="none" w:sz="0" w:space="0" w:color="auto"/>
                                        <w:left w:val="none" w:sz="0" w:space="0" w:color="auto"/>
                                        <w:bottom w:val="none" w:sz="0" w:space="0" w:color="auto"/>
                                        <w:right w:val="none" w:sz="0" w:space="0" w:color="auto"/>
                                      </w:divBdr>
                                      <w:divsChild>
                                        <w:div w:id="852573157">
                                          <w:marLeft w:val="0"/>
                                          <w:marRight w:val="0"/>
                                          <w:marTop w:val="0"/>
                                          <w:marBottom w:val="0"/>
                                          <w:divBdr>
                                            <w:top w:val="none" w:sz="0" w:space="0" w:color="auto"/>
                                            <w:left w:val="none" w:sz="0" w:space="0" w:color="auto"/>
                                            <w:bottom w:val="none" w:sz="0" w:space="0" w:color="auto"/>
                                            <w:right w:val="none" w:sz="0" w:space="0" w:color="auto"/>
                                          </w:divBdr>
                                          <w:divsChild>
                                            <w:div w:id="630093680">
                                              <w:marLeft w:val="0"/>
                                              <w:marRight w:val="0"/>
                                              <w:marTop w:val="0"/>
                                              <w:marBottom w:val="0"/>
                                              <w:divBdr>
                                                <w:top w:val="none" w:sz="0" w:space="0" w:color="auto"/>
                                                <w:left w:val="none" w:sz="0" w:space="0" w:color="auto"/>
                                                <w:bottom w:val="none" w:sz="0" w:space="0" w:color="auto"/>
                                                <w:right w:val="none" w:sz="0" w:space="0" w:color="auto"/>
                                              </w:divBdr>
                                              <w:divsChild>
                                                <w:div w:id="1101341569">
                                                  <w:marLeft w:val="0"/>
                                                  <w:marRight w:val="0"/>
                                                  <w:marTop w:val="0"/>
                                                  <w:marBottom w:val="0"/>
                                                  <w:divBdr>
                                                    <w:top w:val="none" w:sz="0" w:space="0" w:color="auto"/>
                                                    <w:left w:val="none" w:sz="0" w:space="0" w:color="auto"/>
                                                    <w:bottom w:val="none" w:sz="0" w:space="0" w:color="auto"/>
                                                    <w:right w:val="none" w:sz="0" w:space="0" w:color="auto"/>
                                                  </w:divBdr>
                                                  <w:divsChild>
                                                    <w:div w:id="1181163030">
                                                      <w:marLeft w:val="0"/>
                                                      <w:marRight w:val="0"/>
                                                      <w:marTop w:val="0"/>
                                                      <w:marBottom w:val="0"/>
                                                      <w:divBdr>
                                                        <w:top w:val="none" w:sz="0" w:space="0" w:color="auto"/>
                                                        <w:left w:val="none" w:sz="0" w:space="0" w:color="auto"/>
                                                        <w:bottom w:val="none" w:sz="0" w:space="0" w:color="auto"/>
                                                        <w:right w:val="none" w:sz="0" w:space="0" w:color="auto"/>
                                                      </w:divBdr>
                                                      <w:divsChild>
                                                        <w:div w:id="183323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1.png" Id="rId8" /><Relationship Type="http://schemas.openxmlformats.org/officeDocument/2006/relationships/footer" Target="footer3.xml" Id="rId13" /><Relationship Type="http://schemas.openxmlformats.org/officeDocument/2006/relationships/image" Target="media/image4.png" Id="rId18" /><Relationship Type="http://schemas.microsoft.com/office/2020/10/relationships/intelligence" Target="intelligence2.xml" Id="rId26" /><Relationship Type="http://schemas.openxmlformats.org/officeDocument/2006/relationships/styles" Target="styles.xml" Id="rId3" /><Relationship Type="http://schemas.openxmlformats.org/officeDocument/2006/relationships/hyperlink" Target="https://pncultura2127.cultura.gov.it/gestione-e-controllo/" TargetMode="External" Id="rId21" /><Relationship Type="http://schemas.openxmlformats.org/officeDocument/2006/relationships/endnotes" Target="endnotes.xml" Id="rId7" /><Relationship Type="http://schemas.openxmlformats.org/officeDocument/2006/relationships/footer" Target="footer2.xml" Id="rId12" /><Relationship Type="http://schemas.openxmlformats.org/officeDocument/2006/relationships/hyperlink" Target="https://piao.dfp.gov.it/node/26259)" TargetMode="External" Id="rId17" /><Relationship Type="http://schemas.openxmlformats.org/officeDocument/2006/relationships/theme" Target="theme/theme1.xml" Id="rId25" /><Relationship Type="http://schemas.openxmlformats.org/officeDocument/2006/relationships/numbering" Target="numbering.xml" Id="rId2" /><Relationship Type="http://schemas.openxmlformats.org/officeDocument/2006/relationships/image" Target="media/image3.png" Id="rId16" /><Relationship Type="http://schemas.openxmlformats.org/officeDocument/2006/relationships/hyperlink" Target="https://pncultura2127.cultura.gov.it/elenco-delle-operazioni/" TargetMode="External" Id="rId20"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header" Target="header2.xml" Id="rId11" /><Relationship Type="http://schemas.openxmlformats.org/officeDocument/2006/relationships/fontTable" Target="fontTable.xml" Id="rId24" /><Relationship Type="http://schemas.openxmlformats.org/officeDocument/2006/relationships/webSettings" Target="webSettings.xml" Id="rId5" /><Relationship Type="http://schemas.openxmlformats.org/officeDocument/2006/relationships/hyperlink" Target="https://pncultura2127.cultura.gov.it/gestione-e-controllo/" TargetMode="External" Id="rId15" /><Relationship Type="http://schemas.openxmlformats.org/officeDocument/2006/relationships/footer" Target="footer5.xml" Id="rId23" /><Relationship Type="http://schemas.openxmlformats.org/officeDocument/2006/relationships/footer" Target="footer1.xml" Id="rId10" /><Relationship Type="http://schemas.openxmlformats.org/officeDocument/2006/relationships/hyperlink" Target="https://opencoesione.gov.it/it/sistema_monitoraggio/" TargetMode="External" Id="rId19" /><Relationship Type="http://schemas.openxmlformats.org/officeDocument/2006/relationships/settings" Target="settings.xml" Id="rId4" /><Relationship Type="http://schemas.openxmlformats.org/officeDocument/2006/relationships/header" Target="header1.xml" Id="rId9" /><Relationship Type="http://schemas.openxmlformats.org/officeDocument/2006/relationships/hyperlink" Target="https://pncultura2127.cultura.gov.it/" TargetMode="External" Id="rId14" /><Relationship Type="http://schemas.openxmlformats.org/officeDocument/2006/relationships/footer" Target="footer4.xml" Id="rId22" /></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EDD8F9-95D7-46EE-BAA9-DE900F4EB0BE}">
  <ds:schemaRefs>
    <ds:schemaRef ds:uri="http://schemas.openxmlformats.org/officeDocument/2006/bibliography"/>
  </ds:schemaRefs>
</ds:datastoreItem>
</file>

<file path=docMetadata/LabelInfo.xml><?xml version="1.0" encoding="utf-8"?>
<clbl:labelList xmlns:clbl="http://schemas.microsoft.com/office/2020/mipLabelMetadata">
  <clbl:label id="{deff24bb-2089-4400-8c8e-f71e680378b2}" enabled="0" method="" siteId="{deff24bb-2089-4400-8c8e-f71e680378b2}" removed="1"/>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KPMG</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Succoio, Gianfranco</dc:creator>
  <keywords/>
  <dc:description/>
  <lastModifiedBy>PELLEGRINO VINCENZA GABRIELLA</lastModifiedBy>
  <revision>46</revision>
  <lastPrinted>2025-02-14T08:56:00.0000000Z</lastPrinted>
  <dcterms:created xsi:type="dcterms:W3CDTF">2025-02-04T18:58:00.0000000Z</dcterms:created>
  <dcterms:modified xsi:type="dcterms:W3CDTF">2025-02-24T14:06:12.2866757Z</dcterms:modified>
</coreProperties>
</file>